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0D81" w14:textId="1176892E" w:rsidR="00EA118C" w:rsidRPr="00F725E1" w:rsidRDefault="000970B1" w:rsidP="000970B1">
      <w:pPr>
        <w:jc w:val="center"/>
        <w:rPr>
          <w:rFonts w:ascii="Arial" w:eastAsia="標楷體" w:hAnsi="Arial" w:cs="Arial"/>
          <w:sz w:val="34"/>
          <w:szCs w:val="34"/>
        </w:rPr>
      </w:pPr>
      <w:r w:rsidRPr="00F725E1">
        <w:rPr>
          <w:rFonts w:ascii="Arial" w:eastAsia="標楷體" w:hAnsi="Arial" w:cs="Arial"/>
          <w:sz w:val="34"/>
          <w:szCs w:val="34"/>
        </w:rPr>
        <w:t>廣錠科技股份有限公司</w:t>
      </w:r>
    </w:p>
    <w:p w14:paraId="0B795B78" w14:textId="2669A985" w:rsidR="000970B1" w:rsidRPr="00F725E1" w:rsidRDefault="000970B1" w:rsidP="000970B1">
      <w:pPr>
        <w:spacing w:beforeLines="50" w:before="120"/>
        <w:jc w:val="center"/>
        <w:rPr>
          <w:rFonts w:ascii="Arial" w:eastAsia="標楷體" w:hAnsi="Arial" w:cs="Arial"/>
          <w:sz w:val="34"/>
          <w:szCs w:val="34"/>
        </w:rPr>
      </w:pPr>
      <w:r w:rsidRPr="00F725E1">
        <w:rPr>
          <w:rFonts w:ascii="Arial" w:eastAsia="標楷體" w:hAnsi="Arial" w:cs="Arial"/>
          <w:sz w:val="34"/>
          <w:szCs w:val="34"/>
        </w:rPr>
        <w:t>一</w:t>
      </w:r>
      <w:r w:rsidR="008808D0">
        <w:rPr>
          <w:rFonts w:ascii="Arial" w:eastAsia="標楷體" w:hAnsi="Arial" w:cs="Arial" w:hint="eastAsia"/>
          <w:sz w:val="34"/>
          <w:szCs w:val="34"/>
        </w:rPr>
        <w:t>一</w:t>
      </w:r>
      <w:r w:rsidR="001203D0">
        <w:rPr>
          <w:rFonts w:ascii="標楷體" w:eastAsia="標楷體" w:hAnsi="標楷體" w:cs="Arial" w:hint="eastAsia"/>
          <w:sz w:val="34"/>
          <w:szCs w:val="34"/>
        </w:rPr>
        <w:t>一</w:t>
      </w:r>
      <w:r w:rsidRPr="00F725E1">
        <w:rPr>
          <w:rFonts w:ascii="Arial" w:eastAsia="標楷體" w:hAnsi="Arial" w:cs="Arial"/>
          <w:sz w:val="34"/>
          <w:szCs w:val="34"/>
        </w:rPr>
        <w:t>年度</w:t>
      </w:r>
    </w:p>
    <w:p w14:paraId="74853A9C" w14:textId="76CDC0BB" w:rsidR="000970B1" w:rsidRPr="00B31FC6" w:rsidRDefault="000970B1" w:rsidP="000970B1">
      <w:pPr>
        <w:spacing w:beforeLines="50" w:before="120"/>
        <w:jc w:val="center"/>
        <w:rPr>
          <w:rFonts w:ascii="Arial" w:eastAsia="標楷體" w:hAnsi="Arial" w:cs="Arial"/>
          <w:sz w:val="28"/>
          <w:szCs w:val="28"/>
        </w:rPr>
      </w:pPr>
      <w:r w:rsidRPr="00F725E1">
        <w:rPr>
          <w:rFonts w:ascii="Arial" w:eastAsia="標楷體" w:hAnsi="Arial" w:cs="Arial"/>
          <w:sz w:val="34"/>
          <w:szCs w:val="34"/>
        </w:rPr>
        <w:t>獨立董事與會計師溝通會議記錄</w:t>
      </w:r>
    </w:p>
    <w:p w14:paraId="76F3E447" w14:textId="794F1857" w:rsidR="000970B1" w:rsidRPr="00B31FC6" w:rsidRDefault="000970B1" w:rsidP="000970B1">
      <w:pPr>
        <w:spacing w:beforeLines="30" w:before="72"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一、時</w:t>
      </w:r>
      <w:r w:rsidRPr="00B31FC6">
        <w:rPr>
          <w:rFonts w:ascii="Arial" w:eastAsia="標楷體" w:hAnsi="Arial" w:cs="Arial"/>
          <w:sz w:val="28"/>
          <w:szCs w:val="28"/>
        </w:rPr>
        <w:t xml:space="preserve">    </w:t>
      </w:r>
      <w:r w:rsidRPr="00B31FC6">
        <w:rPr>
          <w:rFonts w:ascii="Arial" w:eastAsia="標楷體" w:hAnsi="Arial" w:cs="Arial"/>
          <w:sz w:val="28"/>
          <w:szCs w:val="28"/>
        </w:rPr>
        <w:t>間：</w:t>
      </w:r>
      <w:bookmarkStart w:id="0" w:name="_Hlk29288816"/>
      <w:r w:rsidRPr="00B31FC6">
        <w:rPr>
          <w:rFonts w:ascii="Arial" w:eastAsia="標楷體" w:hAnsi="Arial" w:cs="Arial"/>
          <w:sz w:val="28"/>
          <w:szCs w:val="28"/>
        </w:rPr>
        <w:t>一</w:t>
      </w:r>
      <w:r w:rsidR="0022729F">
        <w:rPr>
          <w:rFonts w:ascii="Arial" w:eastAsia="標楷體" w:hAnsi="Arial" w:cs="Arial" w:hint="eastAsia"/>
          <w:sz w:val="28"/>
          <w:szCs w:val="28"/>
        </w:rPr>
        <w:t>一</w:t>
      </w:r>
      <w:r w:rsidR="001203D0">
        <w:rPr>
          <w:rFonts w:ascii="標楷體" w:eastAsia="標楷體" w:hAnsi="標楷體" w:cs="Arial" w:hint="eastAsia"/>
          <w:sz w:val="28"/>
          <w:szCs w:val="28"/>
        </w:rPr>
        <w:t>一</w:t>
      </w:r>
      <w:r w:rsidRPr="00B31FC6">
        <w:rPr>
          <w:rFonts w:ascii="Arial" w:eastAsia="標楷體" w:hAnsi="Arial" w:cs="Arial"/>
          <w:sz w:val="28"/>
          <w:szCs w:val="28"/>
        </w:rPr>
        <w:t>年二月</w:t>
      </w:r>
      <w:r w:rsidR="0022729F">
        <w:rPr>
          <w:rFonts w:ascii="Arial" w:eastAsia="標楷體" w:hAnsi="Arial" w:cs="Arial" w:hint="eastAsia"/>
          <w:sz w:val="28"/>
          <w:szCs w:val="28"/>
        </w:rPr>
        <w:t>二</w:t>
      </w:r>
      <w:r w:rsidRPr="00B31FC6">
        <w:rPr>
          <w:rFonts w:ascii="Arial" w:eastAsia="標楷體" w:hAnsi="Arial" w:cs="Arial"/>
          <w:sz w:val="28"/>
          <w:szCs w:val="28"/>
        </w:rPr>
        <w:t>十三日（星期四）下午</w:t>
      </w:r>
      <w:r w:rsidR="00187316" w:rsidRPr="00B31FC6">
        <w:rPr>
          <w:rFonts w:ascii="Arial" w:eastAsia="標楷體" w:hAnsi="Arial" w:cs="Arial"/>
          <w:sz w:val="28"/>
          <w:szCs w:val="28"/>
        </w:rPr>
        <w:t>2</w:t>
      </w:r>
      <w:r w:rsidRPr="00B31FC6">
        <w:rPr>
          <w:rFonts w:ascii="Arial" w:eastAsia="標楷體" w:hAnsi="Arial" w:cs="Arial"/>
          <w:sz w:val="28"/>
          <w:szCs w:val="28"/>
        </w:rPr>
        <w:t>：</w:t>
      </w:r>
      <w:bookmarkEnd w:id="0"/>
      <w:r w:rsidRPr="00B31FC6">
        <w:rPr>
          <w:rFonts w:ascii="Arial" w:eastAsia="標楷體" w:hAnsi="Arial" w:cs="Arial"/>
          <w:sz w:val="28"/>
          <w:szCs w:val="28"/>
        </w:rPr>
        <w:t>3</w:t>
      </w:r>
      <w:r w:rsidR="00187316" w:rsidRPr="00B31FC6">
        <w:rPr>
          <w:rFonts w:ascii="Arial" w:eastAsia="標楷體" w:hAnsi="Arial" w:cs="Arial"/>
          <w:sz w:val="28"/>
          <w:szCs w:val="28"/>
        </w:rPr>
        <w:t>0</w:t>
      </w:r>
    </w:p>
    <w:p w14:paraId="0589614C" w14:textId="77777777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二、地</w:t>
      </w:r>
      <w:r w:rsidRPr="00B31FC6">
        <w:rPr>
          <w:rFonts w:ascii="Arial" w:eastAsia="標楷體" w:hAnsi="Arial" w:cs="Arial"/>
          <w:sz w:val="28"/>
          <w:szCs w:val="28"/>
        </w:rPr>
        <w:t xml:space="preserve">    </w:t>
      </w:r>
      <w:r w:rsidRPr="00B31FC6">
        <w:rPr>
          <w:rFonts w:ascii="Arial" w:eastAsia="標楷體" w:hAnsi="Arial" w:cs="Arial"/>
          <w:sz w:val="28"/>
          <w:szCs w:val="28"/>
        </w:rPr>
        <w:t>點：</w:t>
      </w:r>
      <w:bookmarkStart w:id="1" w:name="_Hlk27408949"/>
      <w:r w:rsidRPr="00B31FC6">
        <w:rPr>
          <w:rFonts w:ascii="Arial" w:eastAsia="標楷體" w:hAnsi="Arial" w:cs="Arial"/>
          <w:sz w:val="28"/>
          <w:szCs w:val="28"/>
        </w:rPr>
        <w:t>新北市汐止區新台五路一段</w:t>
      </w:r>
      <w:r w:rsidRPr="00B31FC6">
        <w:rPr>
          <w:rFonts w:ascii="Arial" w:eastAsia="標楷體" w:hAnsi="Arial" w:cs="Arial"/>
          <w:sz w:val="28"/>
          <w:szCs w:val="28"/>
        </w:rPr>
        <w:t>93</w:t>
      </w:r>
      <w:r w:rsidRPr="00B31FC6">
        <w:rPr>
          <w:rFonts w:ascii="Arial" w:eastAsia="標楷體" w:hAnsi="Arial" w:cs="Arial"/>
          <w:sz w:val="28"/>
          <w:szCs w:val="28"/>
        </w:rPr>
        <w:t>號</w:t>
      </w:r>
      <w:r w:rsidRPr="00B31FC6">
        <w:rPr>
          <w:rFonts w:ascii="Arial" w:eastAsia="標楷體" w:hAnsi="Arial" w:cs="Arial"/>
          <w:sz w:val="28"/>
          <w:szCs w:val="28"/>
        </w:rPr>
        <w:t>24</w:t>
      </w:r>
      <w:r w:rsidRPr="00B31FC6">
        <w:rPr>
          <w:rFonts w:ascii="Arial" w:eastAsia="標楷體" w:hAnsi="Arial" w:cs="Arial"/>
          <w:sz w:val="28"/>
          <w:szCs w:val="28"/>
        </w:rPr>
        <w:t>樓本公司大會議室</w:t>
      </w:r>
      <w:bookmarkEnd w:id="1"/>
    </w:p>
    <w:p w14:paraId="4B75DE25" w14:textId="4F649FC4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三、出席人員：陳志湧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獨立董事、倪集熙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獨立董事、劉茹芬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獨立董事</w:t>
      </w:r>
    </w:p>
    <w:p w14:paraId="03D80D15" w14:textId="7C87EE47" w:rsidR="000970B1" w:rsidRPr="00B31FC6" w:rsidRDefault="000970B1" w:rsidP="000970B1">
      <w:pPr>
        <w:spacing w:line="44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 xml:space="preserve">              </w:t>
      </w:r>
      <w:r w:rsidRPr="00B31FC6">
        <w:rPr>
          <w:rFonts w:ascii="Arial" w:eastAsia="標楷體" w:hAnsi="Arial" w:cs="Arial"/>
          <w:sz w:val="28"/>
          <w:szCs w:val="28"/>
        </w:rPr>
        <w:t>勤業眾信聯合會計師事務所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張敬人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會計師</w:t>
      </w:r>
    </w:p>
    <w:p w14:paraId="127A97BA" w14:textId="6DD6A644" w:rsidR="000970B1" w:rsidRPr="00B31FC6" w:rsidRDefault="000970B1" w:rsidP="000970B1">
      <w:pPr>
        <w:spacing w:line="44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 xml:space="preserve">              </w:t>
      </w:r>
      <w:r w:rsidRPr="00B31FC6">
        <w:rPr>
          <w:rFonts w:ascii="Arial" w:eastAsia="標楷體" w:hAnsi="Arial" w:cs="Arial"/>
          <w:sz w:val="28"/>
          <w:szCs w:val="28"/>
        </w:rPr>
        <w:t>稽核主管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曾志仁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經理</w:t>
      </w:r>
    </w:p>
    <w:p w14:paraId="041B7DC9" w14:textId="7CDB0BDD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四、主　　席：陳志湧</w:t>
      </w:r>
      <w:r w:rsidRPr="00B31FC6">
        <w:rPr>
          <w:rFonts w:ascii="Arial" w:eastAsia="標楷體" w:hAnsi="Arial" w:cs="Arial"/>
          <w:sz w:val="28"/>
          <w:szCs w:val="28"/>
        </w:rPr>
        <w:t xml:space="preserve"> </w:t>
      </w:r>
      <w:r w:rsidRPr="00B31FC6">
        <w:rPr>
          <w:rFonts w:ascii="Arial" w:eastAsia="標楷體" w:hAnsi="Arial" w:cs="Arial"/>
          <w:sz w:val="28"/>
          <w:szCs w:val="28"/>
        </w:rPr>
        <w:t>獨立董事</w:t>
      </w:r>
      <w:r w:rsidRPr="00B31FC6">
        <w:rPr>
          <w:rFonts w:ascii="Arial" w:eastAsia="標楷體" w:hAnsi="Arial" w:cs="Arial"/>
          <w:sz w:val="28"/>
          <w:szCs w:val="28"/>
        </w:rPr>
        <w:t xml:space="preserve">                   </w:t>
      </w:r>
      <w:r w:rsidRPr="00B31FC6">
        <w:rPr>
          <w:rFonts w:ascii="Arial" w:eastAsia="標楷體" w:hAnsi="Arial" w:cs="Arial"/>
          <w:sz w:val="28"/>
          <w:szCs w:val="28"/>
        </w:rPr>
        <w:t>記錄：曾志仁</w:t>
      </w:r>
    </w:p>
    <w:p w14:paraId="2DB538E0" w14:textId="77777777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五、主席致詞：（略）</w:t>
      </w:r>
    </w:p>
    <w:p w14:paraId="63273ABC" w14:textId="731F4E54" w:rsidR="000970B1" w:rsidRPr="00B31FC6" w:rsidRDefault="000970B1" w:rsidP="000970B1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六、</w:t>
      </w:r>
      <w:r w:rsidR="00327F22" w:rsidRPr="00B31FC6">
        <w:rPr>
          <w:rFonts w:ascii="Arial" w:eastAsia="標楷體" w:hAnsi="Arial" w:cs="Arial"/>
          <w:sz w:val="28"/>
          <w:szCs w:val="28"/>
        </w:rPr>
        <w:t>溝通</w:t>
      </w:r>
      <w:r w:rsidRPr="00B31FC6">
        <w:rPr>
          <w:rFonts w:ascii="Arial" w:eastAsia="標楷體" w:hAnsi="Arial" w:cs="Arial"/>
          <w:sz w:val="28"/>
          <w:szCs w:val="28"/>
        </w:rPr>
        <w:t>事項：</w:t>
      </w:r>
      <w:r w:rsidR="00AE539D" w:rsidRPr="00B31FC6">
        <w:rPr>
          <w:rFonts w:ascii="Arial" w:eastAsia="標楷體" w:hAnsi="Arial" w:cs="Arial"/>
          <w:sz w:val="28"/>
          <w:szCs w:val="28"/>
        </w:rPr>
        <w:t>報告人</w:t>
      </w:r>
      <w:r w:rsidR="0022729F">
        <w:rPr>
          <w:rFonts w:ascii="Arial" w:eastAsia="標楷體" w:hAnsi="Arial" w:cs="Arial" w:hint="eastAsia"/>
          <w:sz w:val="28"/>
          <w:szCs w:val="28"/>
        </w:rPr>
        <w:t>張敬人</w:t>
      </w:r>
      <w:r w:rsidR="00AE539D" w:rsidRPr="00B31FC6">
        <w:rPr>
          <w:rFonts w:ascii="Arial" w:eastAsia="標楷體" w:hAnsi="Arial" w:cs="Arial"/>
          <w:sz w:val="28"/>
          <w:szCs w:val="28"/>
        </w:rPr>
        <w:t xml:space="preserve"> </w:t>
      </w:r>
      <w:r w:rsidR="00AE539D" w:rsidRPr="00B31FC6">
        <w:rPr>
          <w:rFonts w:ascii="Arial" w:eastAsia="標楷體" w:hAnsi="Arial" w:cs="Arial"/>
          <w:sz w:val="28"/>
          <w:szCs w:val="28"/>
        </w:rPr>
        <w:t>會計師</w:t>
      </w:r>
    </w:p>
    <w:p w14:paraId="78D937E8" w14:textId="69CE927B" w:rsidR="00187316" w:rsidRPr="00B31FC6" w:rsidRDefault="00187316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1</w:t>
      </w:r>
      <w:r w:rsidRPr="00B31FC6">
        <w:rPr>
          <w:rFonts w:ascii="Arial" w:eastAsia="標楷體" w:hAnsi="Arial" w:cs="Arial"/>
          <w:sz w:val="28"/>
          <w:szCs w:val="28"/>
        </w:rPr>
        <w:t>、</w:t>
      </w:r>
      <w:r w:rsidRPr="00B31FC6">
        <w:rPr>
          <w:rFonts w:ascii="Arial" w:eastAsia="標楷體" w:hAnsi="Arial" w:cs="Arial"/>
          <w:sz w:val="28"/>
          <w:szCs w:val="28"/>
        </w:rPr>
        <w:t>1</w:t>
      </w:r>
      <w:r w:rsidR="005E5DAF">
        <w:rPr>
          <w:rFonts w:ascii="Arial" w:eastAsia="標楷體" w:hAnsi="Arial" w:cs="Arial" w:hint="eastAsia"/>
          <w:sz w:val="28"/>
          <w:szCs w:val="28"/>
        </w:rPr>
        <w:t>10</w:t>
      </w:r>
      <w:r w:rsidRPr="00B31FC6">
        <w:rPr>
          <w:rFonts w:ascii="Arial" w:eastAsia="標楷體" w:hAnsi="Arial" w:cs="Arial"/>
          <w:sz w:val="28"/>
          <w:szCs w:val="28"/>
        </w:rPr>
        <w:t>年度內控測試結果</w:t>
      </w:r>
    </w:p>
    <w:p w14:paraId="028BBDED" w14:textId="16C68ED9" w:rsidR="00327F22" w:rsidRDefault="00327F22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（</w:t>
      </w:r>
      <w:r w:rsidRPr="00B31FC6">
        <w:rPr>
          <w:rFonts w:ascii="Arial" w:eastAsia="標楷體" w:hAnsi="Arial" w:cs="Arial"/>
          <w:sz w:val="28"/>
          <w:szCs w:val="28"/>
        </w:rPr>
        <w:t>1</w:t>
      </w:r>
      <w:r w:rsidRPr="00B31FC6">
        <w:rPr>
          <w:rFonts w:ascii="Arial" w:eastAsia="標楷體" w:hAnsi="Arial" w:cs="Arial"/>
          <w:sz w:val="28"/>
          <w:szCs w:val="28"/>
        </w:rPr>
        <w:t>）測試內容</w:t>
      </w:r>
    </w:p>
    <w:tbl>
      <w:tblPr>
        <w:tblpPr w:leftFromText="180" w:rightFromText="180" w:vertAnchor="text" w:horzAnchor="margin" w:tblpXSpec="right" w:tblpY="1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3828"/>
      </w:tblGrid>
      <w:tr w:rsidR="0022729F" w:rsidRPr="0022729F" w14:paraId="2606BFDE" w14:textId="77777777" w:rsidTr="0022729F">
        <w:trPr>
          <w:trHeight w:val="58"/>
        </w:trPr>
        <w:tc>
          <w:tcPr>
            <w:tcW w:w="2268" w:type="dxa"/>
            <w:vAlign w:val="center"/>
          </w:tcPr>
          <w:p w14:paraId="44ACCF9B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類別</w:t>
            </w:r>
          </w:p>
        </w:tc>
        <w:tc>
          <w:tcPr>
            <w:tcW w:w="2693" w:type="dxa"/>
            <w:vAlign w:val="center"/>
          </w:tcPr>
          <w:p w14:paraId="34A5444D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測試作業</w:t>
            </w:r>
          </w:p>
        </w:tc>
        <w:tc>
          <w:tcPr>
            <w:tcW w:w="3828" w:type="dxa"/>
            <w:vAlign w:val="center"/>
          </w:tcPr>
          <w:p w14:paraId="433A1364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說明</w:t>
            </w:r>
          </w:p>
        </w:tc>
      </w:tr>
      <w:tr w:rsidR="0022729F" w:rsidRPr="0022729F" w14:paraId="39BCC735" w14:textId="77777777" w:rsidTr="0022729F">
        <w:trPr>
          <w:trHeight w:val="116"/>
        </w:trPr>
        <w:tc>
          <w:tcPr>
            <w:tcW w:w="2268" w:type="dxa"/>
            <w:vAlign w:val="center"/>
          </w:tcPr>
          <w:p w14:paraId="6BFB67A3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銷售與收款循環</w:t>
            </w:r>
          </w:p>
        </w:tc>
        <w:tc>
          <w:tcPr>
            <w:tcW w:w="2693" w:type="dxa"/>
            <w:vAlign w:val="center"/>
          </w:tcPr>
          <w:p w14:paraId="26C3B6B4" w14:textId="77777777" w:rsidR="0022729F" w:rsidRPr="0022729F" w:rsidRDefault="0022729F" w:rsidP="0022729F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訂單作業</w:t>
            </w:r>
          </w:p>
          <w:p w14:paraId="3D44CCD1" w14:textId="77777777" w:rsidR="0022729F" w:rsidRPr="0022729F" w:rsidRDefault="0022729F" w:rsidP="0022729F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交貨作業</w:t>
            </w:r>
          </w:p>
          <w:p w14:paraId="137234F6" w14:textId="77777777" w:rsidR="0022729F" w:rsidRPr="0022729F" w:rsidRDefault="0022729F" w:rsidP="0022729F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應收帳款入帳作業</w:t>
            </w:r>
          </w:p>
        </w:tc>
        <w:tc>
          <w:tcPr>
            <w:tcW w:w="3828" w:type="dxa"/>
            <w:vAlign w:val="center"/>
          </w:tcPr>
          <w:p w14:paraId="1F667C57" w14:textId="77777777" w:rsidR="0022729F" w:rsidRPr="0022729F" w:rsidRDefault="0022729F" w:rsidP="0022729F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銷貨收入之作業為顯著風險，列為關鍵查核事項之說明</w:t>
            </w:r>
          </w:p>
        </w:tc>
      </w:tr>
      <w:tr w:rsidR="0022729F" w:rsidRPr="0022729F" w14:paraId="641700C8" w14:textId="77777777" w:rsidTr="0022729F">
        <w:trPr>
          <w:trHeight w:val="160"/>
        </w:trPr>
        <w:tc>
          <w:tcPr>
            <w:tcW w:w="2268" w:type="dxa"/>
            <w:vAlign w:val="center"/>
          </w:tcPr>
          <w:p w14:paraId="1A331F89" w14:textId="77777777" w:rsidR="0022729F" w:rsidRPr="0022729F" w:rsidRDefault="0022729F" w:rsidP="0022729F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採購循環</w:t>
            </w:r>
          </w:p>
        </w:tc>
        <w:tc>
          <w:tcPr>
            <w:tcW w:w="2693" w:type="dxa"/>
            <w:vAlign w:val="center"/>
          </w:tcPr>
          <w:p w14:paraId="364D9819" w14:textId="77777777" w:rsidR="0022729F" w:rsidRPr="0022729F" w:rsidRDefault="0022729F" w:rsidP="0022729F">
            <w:pPr>
              <w:widowControl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驗收作業</w:t>
            </w:r>
          </w:p>
          <w:p w14:paraId="59D0BBF1" w14:textId="77777777" w:rsidR="0022729F" w:rsidRPr="0022729F" w:rsidRDefault="0022729F" w:rsidP="0022729F">
            <w:pPr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應付帳款入帳作業</w:t>
            </w:r>
          </w:p>
        </w:tc>
        <w:tc>
          <w:tcPr>
            <w:tcW w:w="3828" w:type="dxa"/>
            <w:vAlign w:val="center"/>
          </w:tcPr>
          <w:p w14:paraId="37C6E39E" w14:textId="77777777" w:rsidR="0022729F" w:rsidRPr="0022729F" w:rsidRDefault="0022729F" w:rsidP="0022729F">
            <w:pPr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22729F">
              <w:rPr>
                <w:rFonts w:ascii="標楷體" w:eastAsia="標楷體" w:hAnsi="標楷體" w:cs="Arial" w:hint="eastAsia"/>
                <w:color w:val="000000" w:themeColor="text1"/>
                <w:kern w:val="24"/>
                <w:sz w:val="28"/>
                <w:szCs w:val="28"/>
              </w:rPr>
              <w:t>採輪替方式</w:t>
            </w:r>
          </w:p>
        </w:tc>
      </w:tr>
    </w:tbl>
    <w:p w14:paraId="5A62D6C6" w14:textId="1CD64FC2" w:rsidR="0022729F" w:rsidRDefault="0022729F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</w:p>
    <w:p w14:paraId="64BE998B" w14:textId="7F15620D" w:rsidR="0022729F" w:rsidRDefault="0022729F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</w:p>
    <w:p w14:paraId="725F96E3" w14:textId="77777777" w:rsidR="0022729F" w:rsidRPr="00B31FC6" w:rsidRDefault="0022729F" w:rsidP="00327F22">
      <w:pPr>
        <w:spacing w:line="500" w:lineRule="exact"/>
        <w:ind w:firstLineChars="218" w:firstLine="610"/>
        <w:jc w:val="both"/>
        <w:rPr>
          <w:rFonts w:ascii="Arial" w:eastAsia="標楷體" w:hAnsi="Arial" w:cs="Arial" w:hint="eastAsia"/>
          <w:sz w:val="28"/>
          <w:szCs w:val="28"/>
        </w:rPr>
      </w:pPr>
    </w:p>
    <w:p w14:paraId="2DA75213" w14:textId="758C19D2" w:rsidR="00AE539D" w:rsidRPr="00B31FC6" w:rsidRDefault="00327F22" w:rsidP="00AE539D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（</w:t>
      </w:r>
      <w:r w:rsidRPr="00B31FC6">
        <w:rPr>
          <w:rFonts w:ascii="Arial" w:eastAsia="標楷體" w:hAnsi="Arial" w:cs="Arial"/>
          <w:sz w:val="28"/>
          <w:szCs w:val="28"/>
        </w:rPr>
        <w:t>2</w:t>
      </w:r>
      <w:r w:rsidRPr="00B31FC6">
        <w:rPr>
          <w:rFonts w:ascii="Arial" w:eastAsia="標楷體" w:hAnsi="Arial" w:cs="Arial"/>
          <w:sz w:val="28"/>
          <w:szCs w:val="28"/>
        </w:rPr>
        <w:t>）測試結果</w:t>
      </w:r>
    </w:p>
    <w:p w14:paraId="1AC7791E" w14:textId="6132391B" w:rsidR="00AE539D" w:rsidRPr="00B31FC6" w:rsidRDefault="00AE539D" w:rsidP="00AE539D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未發現異常之情事</w:t>
      </w:r>
      <w:r w:rsidRPr="00B31FC6">
        <w:rPr>
          <w:rFonts w:ascii="Arial" w:eastAsia="新細明體" w:hAnsi="Arial" w:cs="Arial"/>
          <w:sz w:val="28"/>
          <w:szCs w:val="28"/>
        </w:rPr>
        <w:t>，</w:t>
      </w:r>
      <w:r w:rsidRPr="00B31FC6">
        <w:rPr>
          <w:rFonts w:ascii="Arial" w:eastAsia="標楷體" w:hAnsi="Arial" w:cs="Arial"/>
          <w:sz w:val="28"/>
          <w:szCs w:val="28"/>
        </w:rPr>
        <w:t>會計師認為相關內控之設計與執行係屬有效。</w:t>
      </w:r>
    </w:p>
    <w:p w14:paraId="1267F9CD" w14:textId="4C77A0CF" w:rsidR="00187316" w:rsidRPr="00B31FC6" w:rsidRDefault="00187316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2</w:t>
      </w:r>
      <w:r w:rsidRPr="00B31FC6">
        <w:rPr>
          <w:rFonts w:ascii="Arial" w:eastAsia="標楷體" w:hAnsi="Arial" w:cs="Arial"/>
          <w:sz w:val="28"/>
          <w:szCs w:val="28"/>
        </w:rPr>
        <w:t>、</w:t>
      </w:r>
      <w:r w:rsidRPr="00B31FC6">
        <w:rPr>
          <w:rFonts w:ascii="Arial" w:eastAsia="標楷體" w:hAnsi="Arial" w:cs="Arial"/>
          <w:sz w:val="28"/>
          <w:szCs w:val="28"/>
        </w:rPr>
        <w:t>1</w:t>
      </w:r>
      <w:r w:rsidR="005E5DAF">
        <w:rPr>
          <w:rFonts w:ascii="Arial" w:eastAsia="標楷體" w:hAnsi="Arial" w:cs="Arial" w:hint="eastAsia"/>
          <w:sz w:val="28"/>
          <w:szCs w:val="28"/>
        </w:rPr>
        <w:t>10</w:t>
      </w:r>
      <w:r w:rsidRPr="00B31FC6">
        <w:rPr>
          <w:rFonts w:ascii="Arial" w:eastAsia="標楷體" w:hAnsi="Arial" w:cs="Arial"/>
          <w:sz w:val="28"/>
          <w:szCs w:val="28"/>
        </w:rPr>
        <w:t>年度財務報告查核結果</w:t>
      </w:r>
    </w:p>
    <w:p w14:paraId="2E6F89EB" w14:textId="44CAA559" w:rsidR="0022729F" w:rsidRDefault="001064B1" w:rsidP="007C61E3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（</w:t>
      </w:r>
      <w:r w:rsidRPr="00B31FC6">
        <w:rPr>
          <w:rFonts w:ascii="Arial" w:eastAsia="標楷體" w:hAnsi="Arial" w:cs="Arial"/>
          <w:sz w:val="28"/>
          <w:szCs w:val="28"/>
        </w:rPr>
        <w:t>1</w:t>
      </w:r>
      <w:r w:rsidRPr="00B31FC6">
        <w:rPr>
          <w:rFonts w:ascii="Arial" w:eastAsia="標楷體" w:hAnsi="Arial" w:cs="Arial"/>
          <w:sz w:val="28"/>
          <w:szCs w:val="28"/>
        </w:rPr>
        <w:t>）調整事項金額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6"/>
        <w:gridCol w:w="1843"/>
        <w:gridCol w:w="3969"/>
      </w:tblGrid>
      <w:tr w:rsidR="007C61E3" w:rsidRPr="007C61E3" w14:paraId="0D5C19D7" w14:textId="77777777" w:rsidTr="007C61E3">
        <w:trPr>
          <w:trHeight w:val="22"/>
        </w:trPr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CC378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項目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63883F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金額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仟元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6E8E76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說明</w:t>
            </w:r>
          </w:p>
        </w:tc>
      </w:tr>
      <w:tr w:rsidR="007C61E3" w:rsidRPr="007C61E3" w14:paraId="132D847C" w14:textId="77777777" w:rsidTr="007C61E3">
        <w:trPr>
          <w:trHeight w:val="22"/>
        </w:trPr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7FFD6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公司自行調整後稅前損失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FE6718" w14:textId="77777777" w:rsidR="007C61E3" w:rsidRPr="007C61E3" w:rsidRDefault="007C61E3" w:rsidP="007C61E3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($ 115,322)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5DFF6" w14:textId="77777777" w:rsidR="007C61E3" w:rsidRPr="007C61E3" w:rsidRDefault="007C61E3" w:rsidP="007C61E3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7C61E3" w:rsidRPr="007C61E3" w14:paraId="77397365" w14:textId="77777777" w:rsidTr="007C61E3">
        <w:trPr>
          <w:trHeight w:val="22"/>
        </w:trPr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051A7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公司自行調整後所得稅利益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894DE2" w14:textId="77777777" w:rsidR="007C61E3" w:rsidRPr="007C61E3" w:rsidRDefault="007C61E3" w:rsidP="007C61E3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6,395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DA541" w14:textId="77777777" w:rsidR="007C61E3" w:rsidRPr="007C61E3" w:rsidRDefault="007C61E3" w:rsidP="007C61E3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7C61E3" w:rsidRPr="007C61E3" w14:paraId="6C70448C" w14:textId="77777777" w:rsidTr="007C61E3">
        <w:trPr>
          <w:trHeight w:val="22"/>
        </w:trPr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CE026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018BF" w14:textId="77777777" w:rsidR="007C61E3" w:rsidRPr="007C61E3" w:rsidRDefault="007C61E3" w:rsidP="007C61E3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(  108,927)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C25CD5" w14:textId="77777777" w:rsidR="007C61E3" w:rsidRPr="007C61E3" w:rsidRDefault="007C61E3" w:rsidP="007C61E3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7C61E3" w:rsidRPr="007C61E3" w14:paraId="487E13B6" w14:textId="77777777" w:rsidTr="007C61E3">
        <w:trPr>
          <w:trHeight w:val="22"/>
        </w:trPr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02A1A7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會計師調整損益</w:t>
            </w:r>
          </w:p>
          <w:p w14:paraId="420041A2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AJE&lt;1&gt;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調整長期股權投資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2C603" w14:textId="77777777" w:rsidR="007C61E3" w:rsidRPr="007C61E3" w:rsidRDefault="007C61E3" w:rsidP="007C61E3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(  13,566)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3129D" w14:textId="77777777" w:rsidR="007C61E3" w:rsidRPr="007C61E3" w:rsidRDefault="007C61E3" w:rsidP="007C61E3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採以特瑞斯公司之查核後數字進行投資損益的認列，致多認列投資損失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13,566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仟元。</w:t>
            </w:r>
          </w:p>
        </w:tc>
      </w:tr>
      <w:tr w:rsidR="007C61E3" w:rsidRPr="007C61E3" w14:paraId="610BAFAC" w14:textId="77777777" w:rsidTr="007C61E3">
        <w:trPr>
          <w:trHeight w:val="22"/>
        </w:trPr>
        <w:tc>
          <w:tcPr>
            <w:tcW w:w="368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6FE91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調整稅後損失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0C52A" w14:textId="77777777" w:rsidR="007C61E3" w:rsidRPr="007C61E3" w:rsidRDefault="007C61E3" w:rsidP="007C61E3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 xml:space="preserve">($ 122,493)  </w:t>
            </w:r>
          </w:p>
        </w:tc>
        <w:tc>
          <w:tcPr>
            <w:tcW w:w="39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38907C" w14:textId="77777777" w:rsidR="007C61E3" w:rsidRPr="007C61E3" w:rsidRDefault="007C61E3" w:rsidP="007C61E3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2D361209" w14:textId="0E5EC0C9" w:rsidR="007C61E3" w:rsidRDefault="007C61E3" w:rsidP="007C61E3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</w:p>
    <w:p w14:paraId="64168681" w14:textId="0769D52E" w:rsidR="007C61E3" w:rsidRDefault="007C61E3" w:rsidP="000A21B2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 w:rsidRPr="007C61E3">
        <w:rPr>
          <w:rFonts w:ascii="Arial" w:eastAsia="標楷體" w:hAnsi="Arial" w:cs="Arial" w:hint="eastAsia"/>
          <w:sz w:val="28"/>
          <w:szCs w:val="28"/>
        </w:rPr>
        <w:lastRenderedPageBreak/>
        <w:t>收入調整事項</w:t>
      </w:r>
      <w:r w:rsidRPr="007C61E3">
        <w:rPr>
          <w:rFonts w:ascii="Arial" w:eastAsia="標楷體" w:hAnsi="Arial" w:cs="Arial" w:hint="eastAsia"/>
          <w:sz w:val="28"/>
          <w:szCs w:val="28"/>
        </w:rPr>
        <w:t>-</w:t>
      </w:r>
      <w:r w:rsidRPr="007C61E3">
        <w:rPr>
          <w:rFonts w:ascii="Arial" w:eastAsia="標楷體" w:hAnsi="Arial" w:cs="Arial" w:hint="eastAsia"/>
          <w:sz w:val="28"/>
          <w:szCs w:val="28"/>
        </w:rPr>
        <w:t>淨額表達評估</w:t>
      </w:r>
    </w:p>
    <w:tbl>
      <w:tblPr>
        <w:tblW w:w="935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6"/>
        <w:gridCol w:w="3620"/>
        <w:gridCol w:w="3620"/>
      </w:tblGrid>
      <w:tr w:rsidR="007C61E3" w:rsidRPr="007C61E3" w14:paraId="01EB44C8" w14:textId="77777777" w:rsidTr="007C61E3">
        <w:trPr>
          <w:trHeight w:val="22"/>
        </w:trPr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D773C" w14:textId="77777777" w:rsidR="007C61E3" w:rsidRPr="007C61E3" w:rsidRDefault="007C61E3" w:rsidP="007C61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3F7F7" w14:textId="77777777" w:rsidR="007C61E3" w:rsidRPr="007C61E3" w:rsidRDefault="007C61E3" w:rsidP="007C61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1E3">
              <w:rPr>
                <w:rFonts w:ascii="標楷體" w:eastAsia="標楷體" w:hAnsi="標楷體" w:hint="eastAsia"/>
                <w:sz w:val="28"/>
                <w:szCs w:val="28"/>
              </w:rPr>
              <w:t>調整金額</w:t>
            </w:r>
          </w:p>
        </w:tc>
        <w:tc>
          <w:tcPr>
            <w:tcW w:w="3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7C76ED" w14:textId="77777777" w:rsidR="007C61E3" w:rsidRPr="007C61E3" w:rsidRDefault="007C61E3" w:rsidP="007C61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61E3">
              <w:rPr>
                <w:rFonts w:ascii="標楷體" w:eastAsia="標楷體" w:hAnsi="標楷體" w:hint="eastAsia"/>
                <w:sz w:val="28"/>
                <w:szCs w:val="28"/>
              </w:rPr>
              <w:t>佔當年度營收金額</w:t>
            </w:r>
          </w:p>
        </w:tc>
      </w:tr>
      <w:tr w:rsidR="007C61E3" w:rsidRPr="007C61E3" w14:paraId="5E138B79" w14:textId="77777777" w:rsidTr="007C61E3">
        <w:trPr>
          <w:trHeight w:val="22"/>
        </w:trPr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A6899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110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年度</w:t>
            </w:r>
          </w:p>
        </w:tc>
        <w:tc>
          <w:tcPr>
            <w:tcW w:w="3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4B9B6A" w14:textId="77777777" w:rsidR="007C61E3" w:rsidRPr="007C61E3" w:rsidRDefault="007C61E3" w:rsidP="007C61E3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 xml:space="preserve">141,894 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仟元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3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95F637" w14:textId="77777777" w:rsidR="007C61E3" w:rsidRPr="007C61E3" w:rsidRDefault="007C61E3" w:rsidP="007C61E3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 xml:space="preserve">8.75%  </w:t>
            </w:r>
          </w:p>
        </w:tc>
      </w:tr>
      <w:tr w:rsidR="007C61E3" w:rsidRPr="007C61E3" w14:paraId="11721EC9" w14:textId="77777777" w:rsidTr="007C61E3">
        <w:trPr>
          <w:trHeight w:val="22"/>
        </w:trPr>
        <w:tc>
          <w:tcPr>
            <w:tcW w:w="211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DA8596" w14:textId="77777777" w:rsidR="007C61E3" w:rsidRPr="007C61E3" w:rsidRDefault="007C61E3" w:rsidP="007C61E3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109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年度</w:t>
            </w:r>
          </w:p>
        </w:tc>
        <w:tc>
          <w:tcPr>
            <w:tcW w:w="3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3A329" w14:textId="77777777" w:rsidR="007C61E3" w:rsidRPr="007C61E3" w:rsidRDefault="007C61E3" w:rsidP="007C61E3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 xml:space="preserve">69,116 </w:t>
            </w:r>
            <w:r w:rsidRPr="007C61E3">
              <w:rPr>
                <w:rFonts w:ascii="Arial" w:eastAsia="標楷體" w:hAnsi="Arial" w:cs="Arial"/>
                <w:sz w:val="28"/>
                <w:szCs w:val="28"/>
              </w:rPr>
              <w:t>仟元</w:t>
            </w:r>
          </w:p>
        </w:tc>
        <w:tc>
          <w:tcPr>
            <w:tcW w:w="3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D7234E" w14:textId="77777777" w:rsidR="007C61E3" w:rsidRPr="007C61E3" w:rsidRDefault="007C61E3" w:rsidP="007C61E3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7C61E3">
              <w:rPr>
                <w:rFonts w:ascii="Arial" w:eastAsia="標楷體" w:hAnsi="Arial" w:cs="Arial"/>
                <w:sz w:val="28"/>
                <w:szCs w:val="28"/>
              </w:rPr>
              <w:t>5.28%</w:t>
            </w:r>
          </w:p>
        </w:tc>
      </w:tr>
    </w:tbl>
    <w:p w14:paraId="75C2526F" w14:textId="77777777" w:rsidR="000A21B2" w:rsidRDefault="007C61E3" w:rsidP="000A21B2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 w:rsidRPr="007C61E3">
        <w:rPr>
          <w:rFonts w:ascii="Arial" w:eastAsia="標楷體" w:hAnsi="Arial" w:cs="Arial" w:hint="eastAsia"/>
          <w:sz w:val="28"/>
          <w:szCs w:val="28"/>
        </w:rPr>
        <w:t>綜合損益表</w:t>
      </w:r>
    </w:p>
    <w:p w14:paraId="71742714" w14:textId="02FB1787" w:rsidR="007C61E3" w:rsidRDefault="007C61E3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7C61E3">
        <w:rPr>
          <w:rFonts w:ascii="Arial" w:eastAsia="標楷體" w:hAnsi="Arial" w:cs="Arial" w:hint="eastAsia"/>
          <w:sz w:val="28"/>
          <w:szCs w:val="28"/>
        </w:rPr>
        <w:t>將</w:t>
      </w:r>
      <w:r w:rsidRPr="007C61E3">
        <w:rPr>
          <w:rFonts w:ascii="Arial" w:eastAsia="標楷體" w:hAnsi="Arial" w:cs="Arial" w:hint="eastAsia"/>
          <w:sz w:val="28"/>
          <w:szCs w:val="28"/>
        </w:rPr>
        <w:t>110</w:t>
      </w:r>
      <w:r w:rsidRPr="007C61E3">
        <w:rPr>
          <w:rFonts w:ascii="Arial" w:eastAsia="標楷體" w:hAnsi="Arial" w:cs="Arial" w:hint="eastAsia"/>
          <w:sz w:val="28"/>
          <w:szCs w:val="28"/>
        </w:rPr>
        <w:t>及</w:t>
      </w:r>
      <w:r w:rsidRPr="007C61E3">
        <w:rPr>
          <w:rFonts w:ascii="Arial" w:eastAsia="標楷體" w:hAnsi="Arial" w:cs="Arial" w:hint="eastAsia"/>
          <w:sz w:val="28"/>
          <w:szCs w:val="28"/>
        </w:rPr>
        <w:t>109</w:t>
      </w:r>
      <w:r w:rsidRPr="007C61E3">
        <w:rPr>
          <w:rFonts w:ascii="Arial" w:eastAsia="標楷體" w:hAnsi="Arial" w:cs="Arial" w:hint="eastAsia"/>
          <w:sz w:val="28"/>
          <w:szCs w:val="28"/>
        </w:rPr>
        <w:t>年度營業收入</w:t>
      </w:r>
      <w:r w:rsidRPr="007C61E3">
        <w:rPr>
          <w:rFonts w:ascii="Arial" w:eastAsia="標楷體" w:hAnsi="Arial" w:cs="Arial" w:hint="eastAsia"/>
          <w:sz w:val="28"/>
          <w:szCs w:val="28"/>
        </w:rPr>
        <w:t>146,077</w:t>
      </w:r>
      <w:r w:rsidRPr="007C61E3">
        <w:rPr>
          <w:rFonts w:ascii="Arial" w:eastAsia="標楷體" w:hAnsi="Arial" w:cs="Arial" w:hint="eastAsia"/>
          <w:sz w:val="28"/>
          <w:szCs w:val="28"/>
        </w:rPr>
        <w:t>仟元及</w:t>
      </w:r>
      <w:r w:rsidRPr="007C61E3">
        <w:rPr>
          <w:rFonts w:ascii="Arial" w:eastAsia="標楷體" w:hAnsi="Arial" w:cs="Arial" w:hint="eastAsia"/>
          <w:sz w:val="28"/>
          <w:szCs w:val="28"/>
        </w:rPr>
        <w:t>69,408</w:t>
      </w:r>
      <w:r w:rsidRPr="007C61E3">
        <w:rPr>
          <w:rFonts w:ascii="Arial" w:eastAsia="標楷體" w:hAnsi="Arial" w:cs="Arial" w:hint="eastAsia"/>
          <w:sz w:val="28"/>
          <w:szCs w:val="28"/>
        </w:rPr>
        <w:t>仟元暨營業成本</w:t>
      </w:r>
      <w:r w:rsidRPr="007C61E3">
        <w:rPr>
          <w:rFonts w:ascii="Arial" w:eastAsia="標楷體" w:hAnsi="Arial" w:cs="Arial" w:hint="eastAsia"/>
          <w:sz w:val="28"/>
          <w:szCs w:val="28"/>
        </w:rPr>
        <w:t>141,894</w:t>
      </w:r>
      <w:r w:rsidRPr="007C61E3">
        <w:rPr>
          <w:rFonts w:ascii="Arial" w:eastAsia="標楷體" w:hAnsi="Arial" w:cs="Arial" w:hint="eastAsia"/>
          <w:sz w:val="28"/>
          <w:szCs w:val="28"/>
        </w:rPr>
        <w:t>仟元及</w:t>
      </w:r>
      <w:r w:rsidRPr="007C61E3">
        <w:rPr>
          <w:rFonts w:ascii="Arial" w:eastAsia="標楷體" w:hAnsi="Arial" w:cs="Arial" w:hint="eastAsia"/>
          <w:sz w:val="28"/>
          <w:szCs w:val="28"/>
        </w:rPr>
        <w:t>69,116</w:t>
      </w:r>
      <w:r w:rsidRPr="007C61E3">
        <w:rPr>
          <w:rFonts w:ascii="Arial" w:eastAsia="標楷體" w:hAnsi="Arial" w:cs="Arial" w:hint="eastAsia"/>
          <w:sz w:val="28"/>
          <w:szCs w:val="28"/>
        </w:rPr>
        <w:t>仟元予以淨額表達，淨額後餘額帳列其他營業收入項下。</w:t>
      </w:r>
    </w:p>
    <w:p w14:paraId="0CC7EAD0" w14:textId="77777777" w:rsidR="000A21B2" w:rsidRDefault="000A21B2" w:rsidP="000A21B2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資產負債表</w:t>
      </w:r>
    </w:p>
    <w:p w14:paraId="1E75D9C5" w14:textId="5069FAD0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0A21B2">
        <w:rPr>
          <w:rFonts w:ascii="Arial" w:eastAsia="標楷體" w:hAnsi="Arial" w:cs="Arial"/>
          <w:sz w:val="28"/>
          <w:szCs w:val="28"/>
        </w:rPr>
        <w:t>110</w:t>
      </w:r>
      <w:r w:rsidRPr="000A21B2">
        <w:rPr>
          <w:rFonts w:ascii="Arial" w:eastAsia="標楷體" w:hAnsi="Arial" w:cs="Arial" w:hint="eastAsia"/>
          <w:sz w:val="28"/>
          <w:szCs w:val="28"/>
        </w:rPr>
        <w:t>年</w:t>
      </w:r>
      <w:r w:rsidRPr="000A21B2">
        <w:rPr>
          <w:rFonts w:ascii="Arial" w:eastAsia="標楷體" w:hAnsi="Arial" w:cs="Arial"/>
          <w:sz w:val="28"/>
          <w:szCs w:val="28"/>
        </w:rPr>
        <w:t>12</w:t>
      </w:r>
      <w:r w:rsidRPr="000A21B2">
        <w:rPr>
          <w:rFonts w:ascii="Arial" w:eastAsia="標楷體" w:hAnsi="Arial" w:cs="Arial" w:hint="eastAsia"/>
          <w:sz w:val="28"/>
          <w:szCs w:val="28"/>
        </w:rPr>
        <w:t>月</w:t>
      </w:r>
      <w:r w:rsidRPr="000A21B2">
        <w:rPr>
          <w:rFonts w:ascii="Arial" w:eastAsia="標楷體" w:hAnsi="Arial" w:cs="Arial"/>
          <w:sz w:val="28"/>
          <w:szCs w:val="28"/>
        </w:rPr>
        <w:t>31</w:t>
      </w:r>
      <w:r w:rsidRPr="000A21B2">
        <w:rPr>
          <w:rFonts w:ascii="Arial" w:eastAsia="標楷體" w:hAnsi="Arial" w:cs="Arial" w:hint="eastAsia"/>
          <w:sz w:val="28"/>
          <w:szCs w:val="28"/>
        </w:rPr>
        <w:t>日相關資產負債，帳列應收帳款</w:t>
      </w:r>
      <w:r w:rsidRPr="000A21B2">
        <w:rPr>
          <w:rFonts w:ascii="Arial" w:eastAsia="標楷體" w:hAnsi="Arial" w:cs="Arial"/>
          <w:sz w:val="28"/>
          <w:szCs w:val="28"/>
        </w:rPr>
        <w:t>12,920</w:t>
      </w:r>
      <w:r w:rsidRPr="000A21B2">
        <w:rPr>
          <w:rFonts w:ascii="Arial" w:eastAsia="標楷體" w:hAnsi="Arial" w:cs="Arial" w:hint="eastAsia"/>
          <w:sz w:val="28"/>
          <w:szCs w:val="28"/>
        </w:rPr>
        <w:t>仟元及應付帳款</w:t>
      </w:r>
      <w:r w:rsidRPr="000A21B2">
        <w:rPr>
          <w:rFonts w:ascii="Arial" w:eastAsia="標楷體" w:hAnsi="Arial" w:cs="Arial"/>
          <w:sz w:val="28"/>
          <w:szCs w:val="28"/>
        </w:rPr>
        <w:t>4,873</w:t>
      </w:r>
      <w:r w:rsidRPr="000A21B2">
        <w:rPr>
          <w:rFonts w:ascii="Arial" w:eastAsia="標楷體" w:hAnsi="Arial" w:cs="Arial" w:hint="eastAsia"/>
          <w:sz w:val="28"/>
          <w:szCs w:val="28"/>
        </w:rPr>
        <w:t>仟元，因其資產與負債無抵銷權，且公司將以總額收付貨款，故不擬淨額表達。另外，</w:t>
      </w:r>
      <w:r w:rsidRPr="000A21B2">
        <w:rPr>
          <w:rFonts w:ascii="Arial" w:eastAsia="標楷體" w:hAnsi="Arial" w:cs="Arial"/>
          <w:sz w:val="28"/>
          <w:szCs w:val="28"/>
        </w:rPr>
        <w:t>109</w:t>
      </w:r>
      <w:r w:rsidRPr="000A21B2">
        <w:rPr>
          <w:rFonts w:ascii="Arial" w:eastAsia="標楷體" w:hAnsi="Arial" w:cs="Arial" w:hint="eastAsia"/>
          <w:sz w:val="28"/>
          <w:szCs w:val="28"/>
        </w:rPr>
        <w:t>年</w:t>
      </w:r>
      <w:r w:rsidRPr="000A21B2">
        <w:rPr>
          <w:rFonts w:ascii="Arial" w:eastAsia="標楷體" w:hAnsi="Arial" w:cs="Arial"/>
          <w:sz w:val="28"/>
          <w:szCs w:val="28"/>
        </w:rPr>
        <w:t>12</w:t>
      </w:r>
      <w:r w:rsidRPr="000A21B2">
        <w:rPr>
          <w:rFonts w:ascii="Arial" w:eastAsia="標楷體" w:hAnsi="Arial" w:cs="Arial" w:hint="eastAsia"/>
          <w:sz w:val="28"/>
          <w:szCs w:val="28"/>
        </w:rPr>
        <w:t>月</w:t>
      </w:r>
      <w:r w:rsidRPr="000A21B2">
        <w:rPr>
          <w:rFonts w:ascii="Arial" w:eastAsia="標楷體" w:hAnsi="Arial" w:cs="Arial"/>
          <w:sz w:val="28"/>
          <w:szCs w:val="28"/>
        </w:rPr>
        <w:t>31</w:t>
      </w:r>
      <w:r w:rsidRPr="000A21B2">
        <w:rPr>
          <w:rFonts w:ascii="Arial" w:eastAsia="標楷體" w:hAnsi="Arial" w:cs="Arial" w:hint="eastAsia"/>
          <w:sz w:val="28"/>
          <w:szCs w:val="28"/>
        </w:rPr>
        <w:t>日無相關資產負債。</w:t>
      </w:r>
    </w:p>
    <w:p w14:paraId="3EA48877" w14:textId="2FCF71FA" w:rsidR="001064B1" w:rsidRDefault="00FB0EF7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（</w:t>
      </w:r>
      <w:r w:rsidRPr="00B31FC6">
        <w:rPr>
          <w:rFonts w:ascii="Arial" w:eastAsia="標楷體" w:hAnsi="Arial" w:cs="Arial"/>
          <w:sz w:val="28"/>
          <w:szCs w:val="28"/>
        </w:rPr>
        <w:t>2</w:t>
      </w:r>
      <w:r w:rsidRPr="00B31FC6">
        <w:rPr>
          <w:rFonts w:ascii="Arial" w:eastAsia="標楷體" w:hAnsi="Arial" w:cs="Arial"/>
          <w:sz w:val="28"/>
          <w:szCs w:val="28"/>
        </w:rPr>
        <w:t>）資產負債表面之比率分析</w:t>
      </w: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1"/>
        <w:gridCol w:w="1856"/>
        <w:gridCol w:w="2392"/>
        <w:gridCol w:w="1848"/>
      </w:tblGrid>
      <w:tr w:rsidR="000A21B2" w:rsidRPr="000A21B2" w14:paraId="15D6BE7A" w14:textId="77777777" w:rsidTr="0022729F">
        <w:trPr>
          <w:trHeight w:val="22"/>
        </w:trPr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DEE42" w14:textId="77777777" w:rsidR="000A21B2" w:rsidRPr="0022729F" w:rsidRDefault="000A21B2" w:rsidP="000A21B2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6A5C6E" w14:textId="7D375BCC" w:rsidR="000A21B2" w:rsidRPr="0022729F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微軟正黑體" w:hAnsi="Arial" w:cs="Arial"/>
                <w:kern w:val="24"/>
                <w:sz w:val="28"/>
                <w:szCs w:val="28"/>
              </w:rPr>
              <w:t>110.12.31</w:t>
            </w:r>
          </w:p>
        </w:tc>
        <w:tc>
          <w:tcPr>
            <w:tcW w:w="23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68A495" w14:textId="01B1F4AE" w:rsidR="000A21B2" w:rsidRPr="0022729F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微軟正黑體" w:hAnsi="Arial" w:cs="Arial"/>
                <w:kern w:val="24"/>
                <w:sz w:val="28"/>
                <w:szCs w:val="28"/>
              </w:rPr>
              <w:t>109.12.31</w:t>
            </w:r>
          </w:p>
        </w:tc>
        <w:tc>
          <w:tcPr>
            <w:tcW w:w="1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7E9994" w14:textId="499AF4C5" w:rsidR="000A21B2" w:rsidRPr="0022729F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微軟正黑體" w:hAnsi="Arial" w:cs="Arial"/>
                <w:kern w:val="24"/>
                <w:sz w:val="28"/>
                <w:szCs w:val="28"/>
              </w:rPr>
              <w:t>Diff%</w:t>
            </w:r>
          </w:p>
        </w:tc>
      </w:tr>
      <w:tr w:rsidR="000A21B2" w:rsidRPr="000A21B2" w14:paraId="50F4E636" w14:textId="77777777" w:rsidTr="0022729F">
        <w:trPr>
          <w:trHeight w:val="22"/>
        </w:trPr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5FD86" w14:textId="77777777" w:rsidR="000A21B2" w:rsidRPr="0022729F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應收帳款週轉率</w:t>
            </w:r>
          </w:p>
        </w:tc>
        <w:tc>
          <w:tcPr>
            <w:tcW w:w="18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BE826" w14:textId="37B0C40F" w:rsidR="000A21B2" w:rsidRPr="0022729F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微軟正黑體" w:hAnsi="Arial" w:cs="Arial"/>
                <w:color w:val="000000" w:themeColor="dark1"/>
                <w:kern w:val="24"/>
                <w:sz w:val="28"/>
                <w:szCs w:val="28"/>
              </w:rPr>
              <w:t xml:space="preserve">6.15  </w:t>
            </w:r>
          </w:p>
        </w:tc>
        <w:tc>
          <w:tcPr>
            <w:tcW w:w="23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5FE48" w14:textId="21E4F749" w:rsidR="000A21B2" w:rsidRPr="0022729F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微軟正黑體" w:hAnsi="Arial" w:cs="Arial"/>
                <w:color w:val="000000" w:themeColor="dark1"/>
                <w:kern w:val="24"/>
                <w:sz w:val="28"/>
                <w:szCs w:val="28"/>
              </w:rPr>
              <w:t xml:space="preserve"> 5.24 </w:t>
            </w:r>
          </w:p>
        </w:tc>
        <w:tc>
          <w:tcPr>
            <w:tcW w:w="1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68C906" w14:textId="654FEBFB" w:rsidR="000A21B2" w:rsidRPr="0022729F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微軟正黑體" w:hAnsi="Arial" w:cs="Arial"/>
                <w:color w:val="000000" w:themeColor="dark1"/>
                <w:kern w:val="24"/>
                <w:sz w:val="28"/>
                <w:szCs w:val="28"/>
              </w:rPr>
              <w:t>17.37%</w:t>
            </w:r>
          </w:p>
        </w:tc>
      </w:tr>
      <w:tr w:rsidR="000A21B2" w:rsidRPr="000A21B2" w14:paraId="0801CE57" w14:textId="77777777" w:rsidTr="0022729F">
        <w:trPr>
          <w:trHeight w:val="22"/>
        </w:trPr>
        <w:tc>
          <w:tcPr>
            <w:tcW w:w="25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308932" w14:textId="77777777" w:rsidR="000A21B2" w:rsidRPr="0022729F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2729F">
              <w:rPr>
                <w:rFonts w:ascii="Arial" w:eastAsia="標楷體" w:hAnsi="Arial" w:cs="Arial"/>
                <w:sz w:val="28"/>
                <w:szCs w:val="28"/>
              </w:rPr>
              <w:t>應收帳款週轉天數</w:t>
            </w:r>
          </w:p>
        </w:tc>
        <w:tc>
          <w:tcPr>
            <w:tcW w:w="18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0C2C5E" w14:textId="5B9BF23B" w:rsidR="000A21B2" w:rsidRPr="0022729F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微軟正黑體" w:hAnsi="Arial" w:cs="Arial"/>
                <w:color w:val="000000" w:themeColor="dark1"/>
                <w:kern w:val="24"/>
                <w:sz w:val="28"/>
                <w:szCs w:val="28"/>
              </w:rPr>
              <w:t xml:space="preserve">60 </w:t>
            </w:r>
          </w:p>
        </w:tc>
        <w:tc>
          <w:tcPr>
            <w:tcW w:w="23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0EC685" w14:textId="473CDF65" w:rsidR="000A21B2" w:rsidRPr="0022729F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微軟正黑體" w:hAnsi="Arial" w:cs="Arial"/>
                <w:color w:val="000000" w:themeColor="dark1"/>
                <w:kern w:val="24"/>
                <w:sz w:val="28"/>
                <w:szCs w:val="28"/>
              </w:rPr>
              <w:t xml:space="preserve"> 70</w:t>
            </w:r>
          </w:p>
        </w:tc>
        <w:tc>
          <w:tcPr>
            <w:tcW w:w="1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E2DB3F" w14:textId="5C7DD1F0" w:rsidR="000A21B2" w:rsidRPr="0022729F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微軟正黑體" w:hAnsi="Arial" w:cs="Arial"/>
                <w:color w:val="000000" w:themeColor="dark1"/>
                <w:kern w:val="24"/>
                <w:sz w:val="28"/>
                <w:szCs w:val="28"/>
              </w:rPr>
              <w:t>-14.29%</w:t>
            </w:r>
          </w:p>
        </w:tc>
      </w:tr>
    </w:tbl>
    <w:p w14:paraId="71CF5EA6" w14:textId="77777777" w:rsidR="0022729F" w:rsidRDefault="0022729F" w:rsidP="0022729F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分析</w:t>
      </w:r>
      <w:r>
        <w:rPr>
          <w:rFonts w:ascii="新細明體" w:eastAsia="新細明體" w:hAnsi="新細明體" w:cs="Arial" w:hint="eastAsia"/>
          <w:sz w:val="28"/>
          <w:szCs w:val="28"/>
        </w:rPr>
        <w:t>：</w:t>
      </w:r>
    </w:p>
    <w:p w14:paraId="5A66AABA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本期應收款項週轉率較去年同期上升，週轉天數較去年同期下降，主要係：</w:t>
      </w:r>
    </w:p>
    <w:p w14:paraId="1FC624F7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本年度主要係對</w:t>
      </w:r>
      <w:r w:rsidRPr="000A21B2">
        <w:rPr>
          <w:rFonts w:ascii="Arial" w:eastAsia="標楷體" w:hAnsi="Arial" w:cs="Arial" w:hint="eastAsia"/>
          <w:sz w:val="28"/>
          <w:szCs w:val="28"/>
        </w:rPr>
        <w:t>Powin</w:t>
      </w:r>
      <w:r w:rsidRPr="000A21B2">
        <w:rPr>
          <w:rFonts w:ascii="Arial" w:eastAsia="標楷體" w:hAnsi="Arial" w:cs="Arial" w:hint="eastAsia"/>
          <w:sz w:val="28"/>
          <w:szCs w:val="28"/>
        </w:rPr>
        <w:t>公司銷貨，且銷貨集中於第二季及第三季，於第四季已收回多數流通在外之應收帳款，致平均應收帳款較年同期下降</w:t>
      </w:r>
      <w:r w:rsidRPr="000A21B2">
        <w:rPr>
          <w:rFonts w:ascii="Arial" w:eastAsia="標楷體" w:hAnsi="Arial" w:cs="Arial" w:hint="eastAsia"/>
          <w:sz w:val="28"/>
          <w:szCs w:val="28"/>
        </w:rPr>
        <w:t>1.26%</w:t>
      </w:r>
      <w:r w:rsidRPr="000A21B2">
        <w:rPr>
          <w:rFonts w:ascii="Arial" w:eastAsia="標楷體" w:hAnsi="Arial" w:cs="Arial" w:hint="eastAsia"/>
          <w:sz w:val="28"/>
          <w:szCs w:val="28"/>
        </w:rPr>
        <w:t>。</w:t>
      </w:r>
    </w:p>
    <w:p w14:paraId="75F06E44" w14:textId="1B26CF00" w:rsidR="0022729F" w:rsidRDefault="000A21B2" w:rsidP="004325AA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綜上所述，致應收款項週轉率較去年同期上升，週轉天數較去年同期下降。</w:t>
      </w:r>
    </w:p>
    <w:p w14:paraId="775F9D1F" w14:textId="6474E7B6" w:rsidR="000A21B2" w:rsidRDefault="00FB0EF7" w:rsidP="000A21B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（</w:t>
      </w:r>
      <w:r w:rsidRPr="00B31FC6">
        <w:rPr>
          <w:rFonts w:ascii="Arial" w:eastAsia="標楷體" w:hAnsi="Arial" w:cs="Arial"/>
          <w:sz w:val="28"/>
          <w:szCs w:val="28"/>
        </w:rPr>
        <w:t>3</w:t>
      </w:r>
      <w:r w:rsidRPr="00B31FC6">
        <w:rPr>
          <w:rFonts w:ascii="Arial" w:eastAsia="標楷體" w:hAnsi="Arial" w:cs="Arial"/>
          <w:sz w:val="28"/>
          <w:szCs w:val="28"/>
        </w:rPr>
        <w:t>）損益表面之比率分析</w:t>
      </w: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1736"/>
        <w:gridCol w:w="1737"/>
        <w:gridCol w:w="1736"/>
        <w:gridCol w:w="1737"/>
      </w:tblGrid>
      <w:tr w:rsidR="000A21B2" w:rsidRPr="000A21B2" w14:paraId="5C62638C" w14:textId="77777777" w:rsidTr="004325AA">
        <w:trPr>
          <w:trHeight w:val="22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587FE" w14:textId="77777777" w:rsidR="000A21B2" w:rsidRPr="004325AA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0EF1AA" w14:textId="4DFEFC36" w:rsidR="000A21B2" w:rsidRPr="004325AA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110</w:t>
            </w: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年度</w:t>
            </w:r>
          </w:p>
        </w:tc>
        <w:tc>
          <w:tcPr>
            <w:tcW w:w="1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9F128" w14:textId="0FAE5872" w:rsidR="000A21B2" w:rsidRPr="004325AA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109</w:t>
            </w: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年度</w:t>
            </w:r>
          </w:p>
        </w:tc>
        <w:tc>
          <w:tcPr>
            <w:tcW w:w="17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8562AC" w14:textId="0FF617B8" w:rsidR="000A21B2" w:rsidRPr="004325AA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Diff</w:t>
            </w:r>
          </w:p>
        </w:tc>
        <w:tc>
          <w:tcPr>
            <w:tcW w:w="1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743D6" w14:textId="5365B78E" w:rsidR="000A21B2" w:rsidRPr="004325AA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Diff(%)</w:t>
            </w:r>
          </w:p>
        </w:tc>
      </w:tr>
      <w:tr w:rsidR="000A21B2" w:rsidRPr="000A21B2" w14:paraId="2EFE1FAA" w14:textId="77777777" w:rsidTr="004325AA">
        <w:trPr>
          <w:trHeight w:val="22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91E6F9" w14:textId="77777777" w:rsidR="000A21B2" w:rsidRPr="004325AA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4325AA">
              <w:rPr>
                <w:rFonts w:ascii="Arial" w:eastAsia="標楷體" w:hAnsi="Arial" w:cs="Arial"/>
                <w:sz w:val="28"/>
                <w:szCs w:val="28"/>
              </w:rPr>
              <w:t>毛利率</w:t>
            </w:r>
            <w:r w:rsidRPr="004325AA">
              <w:rPr>
                <w:rFonts w:ascii="Arial" w:eastAsia="標楷體" w:hAnsi="Arial" w:cs="Arial"/>
                <w:sz w:val="28"/>
                <w:szCs w:val="28"/>
              </w:rPr>
              <w:t>(%)</w:t>
            </w:r>
          </w:p>
        </w:tc>
        <w:tc>
          <w:tcPr>
            <w:tcW w:w="17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6B4A1" w14:textId="24BF837E" w:rsidR="000A21B2" w:rsidRPr="004325AA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6.74</w:t>
            </w:r>
          </w:p>
        </w:tc>
        <w:tc>
          <w:tcPr>
            <w:tcW w:w="1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C339E" w14:textId="25D5B8DB" w:rsidR="000A21B2" w:rsidRPr="004325AA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11.06</w:t>
            </w:r>
          </w:p>
        </w:tc>
        <w:tc>
          <w:tcPr>
            <w:tcW w:w="17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517E8" w14:textId="03C11F83" w:rsidR="000A21B2" w:rsidRPr="004325AA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(4.32)</w:t>
            </w:r>
          </w:p>
        </w:tc>
        <w:tc>
          <w:tcPr>
            <w:tcW w:w="173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E2DB27" w14:textId="6A0794D0" w:rsidR="000A21B2" w:rsidRPr="004325AA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kern w:val="24"/>
                <w:sz w:val="28"/>
                <w:szCs w:val="28"/>
              </w:rPr>
              <w:t>(39.06)</w:t>
            </w:r>
          </w:p>
        </w:tc>
      </w:tr>
    </w:tbl>
    <w:p w14:paraId="2A732215" w14:textId="3EB5E11D" w:rsidR="004325AA" w:rsidRDefault="004325AA" w:rsidP="004325AA">
      <w:pPr>
        <w:spacing w:line="500" w:lineRule="exact"/>
        <w:ind w:firstLineChars="506" w:firstLine="1417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分析</w:t>
      </w:r>
      <w:r>
        <w:rPr>
          <w:rFonts w:ascii="新細明體" w:eastAsia="新細明體" w:hAnsi="新細明體" w:cs="Arial" w:hint="eastAsia"/>
          <w:sz w:val="28"/>
          <w:szCs w:val="28"/>
        </w:rPr>
        <w:t>：</w:t>
      </w:r>
    </w:p>
    <w:p w14:paraId="4550805D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本期能源毛利率較去年同期下降，主要係：</w:t>
      </w:r>
    </w:p>
    <w:p w14:paraId="3C5955EA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(1)</w:t>
      </w:r>
      <w:r w:rsidRPr="000A21B2">
        <w:rPr>
          <w:rFonts w:ascii="Arial" w:eastAsia="標楷體" w:hAnsi="Arial" w:cs="Arial" w:hint="eastAsia"/>
          <w:sz w:val="28"/>
          <w:szCs w:val="28"/>
        </w:rPr>
        <w:t>本期台灣受惠於國際情勢及經濟發展，台幣持續升值，廣錠公司儲能</w:t>
      </w:r>
      <w:r w:rsidRPr="000A21B2">
        <w:rPr>
          <w:rFonts w:ascii="Arial" w:eastAsia="標楷體" w:hAnsi="Arial" w:cs="Arial" w:hint="eastAsia"/>
          <w:sz w:val="28"/>
          <w:szCs w:val="28"/>
        </w:rPr>
        <w:lastRenderedPageBreak/>
        <w:t>櫃之美金出口匯率約由</w:t>
      </w:r>
      <w:r w:rsidRPr="000A21B2">
        <w:rPr>
          <w:rFonts w:ascii="Arial" w:eastAsia="標楷體" w:hAnsi="Arial" w:cs="Arial" w:hint="eastAsia"/>
          <w:sz w:val="28"/>
          <w:szCs w:val="28"/>
        </w:rPr>
        <w:t>28.53</w:t>
      </w:r>
      <w:r w:rsidRPr="000A21B2">
        <w:rPr>
          <w:rFonts w:ascii="Arial" w:eastAsia="標楷體" w:hAnsi="Arial" w:cs="Arial" w:hint="eastAsia"/>
          <w:sz w:val="28"/>
          <w:szCs w:val="28"/>
        </w:rPr>
        <w:t>升值</w:t>
      </w:r>
      <w:r w:rsidRPr="000A21B2">
        <w:rPr>
          <w:rFonts w:ascii="Arial" w:eastAsia="標楷體" w:hAnsi="Arial" w:cs="Arial" w:hint="eastAsia"/>
          <w:sz w:val="28"/>
          <w:szCs w:val="28"/>
        </w:rPr>
        <w:t>27.73</w:t>
      </w:r>
      <w:r w:rsidRPr="000A21B2">
        <w:rPr>
          <w:rFonts w:ascii="Arial" w:eastAsia="標楷體" w:hAnsi="Arial" w:cs="Arial" w:hint="eastAsia"/>
          <w:sz w:val="28"/>
          <w:szCs w:val="28"/>
        </w:rPr>
        <w:t>，使得售價下滑約</w:t>
      </w:r>
      <w:r w:rsidRPr="000A21B2">
        <w:rPr>
          <w:rFonts w:ascii="Arial" w:eastAsia="標楷體" w:hAnsi="Arial" w:cs="Arial" w:hint="eastAsia"/>
          <w:sz w:val="28"/>
          <w:szCs w:val="28"/>
        </w:rPr>
        <w:t>5%</w:t>
      </w:r>
      <w:r w:rsidRPr="000A21B2">
        <w:rPr>
          <w:rFonts w:ascii="Arial" w:eastAsia="標楷體" w:hAnsi="Arial" w:cs="Arial" w:hint="eastAsia"/>
          <w:sz w:val="28"/>
          <w:szCs w:val="28"/>
        </w:rPr>
        <w:t>；另外，由於儲能櫃主要生產原料電芯受到市場缺料的影響，公司於前一季預估用量，提前下訂，並預付電芯貨款</w:t>
      </w:r>
      <w:r w:rsidRPr="000A21B2">
        <w:rPr>
          <w:rFonts w:ascii="Arial" w:eastAsia="標楷體" w:hAnsi="Arial" w:cs="Arial" w:hint="eastAsia"/>
          <w:sz w:val="28"/>
          <w:szCs w:val="28"/>
        </w:rPr>
        <w:t>(109</w:t>
      </w:r>
      <w:r w:rsidRPr="000A21B2">
        <w:rPr>
          <w:rFonts w:ascii="Arial" w:eastAsia="標楷體" w:hAnsi="Arial" w:cs="Arial" w:hint="eastAsia"/>
          <w:sz w:val="28"/>
          <w:szCs w:val="28"/>
        </w:rPr>
        <w:t>年第二季尚未採預付方式，而</w:t>
      </w:r>
      <w:r w:rsidRPr="000A21B2">
        <w:rPr>
          <w:rFonts w:ascii="Arial" w:eastAsia="標楷體" w:hAnsi="Arial" w:cs="Arial" w:hint="eastAsia"/>
          <w:sz w:val="28"/>
          <w:szCs w:val="28"/>
        </w:rPr>
        <w:t>110</w:t>
      </w:r>
      <w:r w:rsidRPr="000A21B2">
        <w:rPr>
          <w:rFonts w:ascii="Arial" w:eastAsia="標楷體" w:hAnsi="Arial" w:cs="Arial" w:hint="eastAsia"/>
          <w:sz w:val="28"/>
          <w:szCs w:val="28"/>
        </w:rPr>
        <w:t>年第一季預付比重約為</w:t>
      </w:r>
      <w:r w:rsidRPr="000A21B2">
        <w:rPr>
          <w:rFonts w:ascii="Arial" w:eastAsia="標楷體" w:hAnsi="Arial" w:cs="Arial" w:hint="eastAsia"/>
          <w:sz w:val="28"/>
          <w:szCs w:val="28"/>
        </w:rPr>
        <w:t>100%</w:t>
      </w:r>
      <w:r w:rsidRPr="000A21B2">
        <w:rPr>
          <w:rFonts w:ascii="Arial" w:eastAsia="標楷體" w:hAnsi="Arial" w:cs="Arial" w:hint="eastAsia"/>
          <w:sz w:val="28"/>
          <w:szCs w:val="28"/>
        </w:rPr>
        <w:t>，使得進貨匯率與銷售匯率時間拉長，導致匯率差異變大</w:t>
      </w:r>
      <w:r w:rsidRPr="000A21B2">
        <w:rPr>
          <w:rFonts w:ascii="Arial" w:eastAsia="標楷體" w:hAnsi="Arial" w:cs="Arial" w:hint="eastAsia"/>
          <w:sz w:val="28"/>
          <w:szCs w:val="28"/>
        </w:rPr>
        <w:t>)</w:t>
      </w:r>
      <w:r w:rsidRPr="000A21B2">
        <w:rPr>
          <w:rFonts w:ascii="Arial" w:eastAsia="標楷體" w:hAnsi="Arial" w:cs="Arial" w:hint="eastAsia"/>
          <w:sz w:val="28"/>
          <w:szCs w:val="28"/>
        </w:rPr>
        <w:t>，又依儲能櫃成本組成，原材料佔比大，故原材料進價將會影響儲能櫃之毛利率。</w:t>
      </w:r>
    </w:p>
    <w:p w14:paraId="4A41BB96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(2)110</w:t>
      </w:r>
      <w:r w:rsidRPr="000A21B2">
        <w:rPr>
          <w:rFonts w:ascii="Arial" w:eastAsia="標楷體" w:hAnsi="Arial" w:cs="Arial" w:hint="eastAsia"/>
          <w:sz w:val="28"/>
          <w:szCs w:val="28"/>
        </w:rPr>
        <w:t>年度租用蘆竹廠及設備之折舊持續攤提，認列之折舊費用去年同期增加；且因疫情影響塞港，國際海運指數本年度大幅上漲</w:t>
      </w:r>
      <w:r w:rsidRPr="000A21B2">
        <w:rPr>
          <w:rFonts w:ascii="Arial" w:eastAsia="標楷體" w:hAnsi="Arial" w:cs="Arial" w:hint="eastAsia"/>
          <w:sz w:val="28"/>
          <w:szCs w:val="28"/>
        </w:rPr>
        <w:t>62.85%</w:t>
      </w:r>
      <w:r w:rsidRPr="000A21B2">
        <w:rPr>
          <w:rFonts w:ascii="Arial" w:eastAsia="標楷體" w:hAnsi="Arial" w:cs="Arial" w:hint="eastAsia"/>
          <w:sz w:val="28"/>
          <w:szCs w:val="28"/>
        </w:rPr>
        <w:t>，致運費增加；此外，新建廠伴隨之聘僱新廠房之廠務人員及</w:t>
      </w:r>
      <w:r w:rsidRPr="000A21B2">
        <w:rPr>
          <w:rFonts w:ascii="Arial" w:eastAsia="標楷體" w:hAnsi="Arial" w:cs="Arial" w:hint="eastAsia"/>
          <w:sz w:val="28"/>
          <w:szCs w:val="28"/>
        </w:rPr>
        <w:t>9</w:t>
      </w:r>
      <w:r w:rsidRPr="000A21B2">
        <w:rPr>
          <w:rFonts w:ascii="Arial" w:eastAsia="標楷體" w:hAnsi="Arial" w:cs="Arial" w:hint="eastAsia"/>
          <w:sz w:val="28"/>
          <w:szCs w:val="28"/>
        </w:rPr>
        <w:t>月份中壢廠房已無產能之影響下，致本期分攤之製造費用較去年同期增加。</w:t>
      </w:r>
    </w:p>
    <w:p w14:paraId="62F5671B" w14:textId="4C7448E5" w:rsidR="004325AA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(3)</w:t>
      </w:r>
      <w:r w:rsidRPr="000A21B2">
        <w:rPr>
          <w:rFonts w:ascii="Arial" w:eastAsia="標楷體" w:hAnsi="Arial" w:cs="Arial" w:hint="eastAsia"/>
          <w:sz w:val="28"/>
          <w:szCs w:val="28"/>
        </w:rPr>
        <w:t>充電樁</w:t>
      </w:r>
      <w:r w:rsidRPr="000A21B2">
        <w:rPr>
          <w:rFonts w:ascii="Arial" w:eastAsia="標楷體" w:hAnsi="Arial" w:cs="Arial" w:hint="eastAsia"/>
          <w:sz w:val="28"/>
          <w:szCs w:val="28"/>
        </w:rPr>
        <w:t>EVC02</w:t>
      </w:r>
      <w:r w:rsidRPr="000A21B2">
        <w:rPr>
          <w:rFonts w:ascii="Arial" w:eastAsia="標楷體" w:hAnsi="Arial" w:cs="Arial" w:hint="eastAsia"/>
          <w:sz w:val="28"/>
          <w:szCs w:val="28"/>
        </w:rPr>
        <w:t>，第四季單季出貨</w:t>
      </w:r>
      <w:r w:rsidRPr="000A21B2">
        <w:rPr>
          <w:rFonts w:ascii="Arial" w:eastAsia="標楷體" w:hAnsi="Arial" w:cs="Arial" w:hint="eastAsia"/>
          <w:sz w:val="28"/>
          <w:szCs w:val="28"/>
        </w:rPr>
        <w:t>75</w:t>
      </w:r>
      <w:r w:rsidRPr="000A21B2">
        <w:rPr>
          <w:rFonts w:ascii="Arial" w:eastAsia="標楷體" w:hAnsi="Arial" w:cs="Arial" w:hint="eastAsia"/>
          <w:sz w:val="28"/>
          <w:szCs w:val="28"/>
        </w:rPr>
        <w:t>台，毛利率約</w:t>
      </w:r>
      <w:r w:rsidRPr="000A21B2">
        <w:rPr>
          <w:rFonts w:ascii="Arial" w:eastAsia="標楷體" w:hAnsi="Arial" w:cs="Arial" w:hint="eastAsia"/>
          <w:sz w:val="28"/>
          <w:szCs w:val="28"/>
        </w:rPr>
        <w:t>9.88%</w:t>
      </w:r>
      <w:r w:rsidRPr="000A21B2">
        <w:rPr>
          <w:rFonts w:ascii="Arial" w:eastAsia="標楷體" w:hAnsi="Arial" w:cs="Arial" w:hint="eastAsia"/>
          <w:sz w:val="28"/>
          <w:szCs w:val="28"/>
        </w:rPr>
        <w:t>，使其拉高第四季單季能源毛利率。</w:t>
      </w:r>
    </w:p>
    <w:p w14:paraId="78187E1B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本期博弈毛利率較去年同期下降，主要係：</w:t>
      </w:r>
    </w:p>
    <w:p w14:paraId="5EAACB0B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 xml:space="preserve">(1) </w:t>
      </w:r>
      <w:r w:rsidRPr="000A21B2">
        <w:rPr>
          <w:rFonts w:ascii="Arial" w:eastAsia="標楷體" w:hAnsi="Arial" w:cs="Arial" w:hint="eastAsia"/>
          <w:sz w:val="28"/>
          <w:szCs w:val="28"/>
        </w:rPr>
        <w:t>去年</w:t>
      </w:r>
      <w:r w:rsidRPr="000A21B2">
        <w:rPr>
          <w:rFonts w:ascii="Arial" w:eastAsia="標楷體" w:hAnsi="Arial" w:cs="Arial" w:hint="eastAsia"/>
          <w:sz w:val="28"/>
          <w:szCs w:val="28"/>
        </w:rPr>
        <w:t>1~2</w:t>
      </w:r>
      <w:r w:rsidRPr="000A21B2">
        <w:rPr>
          <w:rFonts w:ascii="Arial" w:eastAsia="標楷體" w:hAnsi="Arial" w:cs="Arial" w:hint="eastAsia"/>
          <w:sz w:val="28"/>
          <w:szCs w:val="28"/>
        </w:rPr>
        <w:t>月接獲</w:t>
      </w:r>
      <w:r w:rsidRPr="000A21B2">
        <w:rPr>
          <w:rFonts w:ascii="Arial" w:eastAsia="標楷體" w:hAnsi="Arial" w:cs="Arial" w:hint="eastAsia"/>
          <w:sz w:val="28"/>
          <w:szCs w:val="28"/>
        </w:rPr>
        <w:t>SG</w:t>
      </w:r>
      <w:r w:rsidRPr="000A21B2">
        <w:rPr>
          <w:rFonts w:ascii="Arial" w:eastAsia="標楷體" w:hAnsi="Arial" w:cs="Arial" w:hint="eastAsia"/>
          <w:sz w:val="28"/>
          <w:szCs w:val="28"/>
        </w:rPr>
        <w:t>集團新款博弈主機</w:t>
      </w:r>
      <w:r w:rsidRPr="000A21B2">
        <w:rPr>
          <w:rFonts w:ascii="Arial" w:eastAsia="標楷體" w:hAnsi="Arial" w:cs="Arial" w:hint="eastAsia"/>
          <w:sz w:val="28"/>
          <w:szCs w:val="28"/>
        </w:rPr>
        <w:t>GPH11B</w:t>
      </w:r>
      <w:r w:rsidRPr="000A21B2">
        <w:rPr>
          <w:rFonts w:ascii="Arial" w:eastAsia="標楷體" w:hAnsi="Arial" w:cs="Arial" w:hint="eastAsia"/>
          <w:sz w:val="28"/>
          <w:szCs w:val="28"/>
        </w:rPr>
        <w:t>訂單，毛利率約為</w:t>
      </w:r>
      <w:r w:rsidRPr="000A21B2">
        <w:rPr>
          <w:rFonts w:ascii="Arial" w:eastAsia="標楷體" w:hAnsi="Arial" w:cs="Arial" w:hint="eastAsia"/>
          <w:sz w:val="28"/>
          <w:szCs w:val="28"/>
        </w:rPr>
        <w:t>19%~27%</w:t>
      </w:r>
      <w:r w:rsidRPr="000A21B2">
        <w:rPr>
          <w:rFonts w:ascii="Arial" w:eastAsia="標楷體" w:hAnsi="Arial" w:cs="Arial" w:hint="eastAsia"/>
          <w:sz w:val="28"/>
          <w:szCs w:val="28"/>
        </w:rPr>
        <w:t>，惟本年度未有相關需求產生；</w:t>
      </w:r>
    </w:p>
    <w:p w14:paraId="593C3AF0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 xml:space="preserve">(2) </w:t>
      </w:r>
      <w:r w:rsidRPr="000A21B2">
        <w:rPr>
          <w:rFonts w:ascii="Arial" w:eastAsia="標楷體" w:hAnsi="Arial" w:cs="Arial" w:hint="eastAsia"/>
          <w:sz w:val="28"/>
          <w:szCs w:val="28"/>
        </w:rPr>
        <w:t>原廣錠公司最大板卡銷售廠商</w:t>
      </w:r>
      <w:r w:rsidRPr="000A21B2">
        <w:rPr>
          <w:rFonts w:ascii="Arial" w:eastAsia="標楷體" w:hAnsi="Arial" w:cs="Arial" w:hint="eastAsia"/>
          <w:sz w:val="28"/>
          <w:szCs w:val="28"/>
        </w:rPr>
        <w:t>AGS</w:t>
      </w:r>
      <w:r w:rsidRPr="000A21B2">
        <w:rPr>
          <w:rFonts w:ascii="Arial" w:eastAsia="標楷體" w:hAnsi="Arial" w:cs="Arial" w:hint="eastAsia"/>
          <w:sz w:val="28"/>
          <w:szCs w:val="28"/>
        </w:rPr>
        <w:t>集團，因疫情影響，本期</w:t>
      </w:r>
      <w:r w:rsidRPr="000A21B2">
        <w:rPr>
          <w:rFonts w:ascii="Arial" w:eastAsia="標楷體" w:hAnsi="Arial" w:cs="Arial" w:hint="eastAsia"/>
          <w:sz w:val="28"/>
          <w:szCs w:val="28"/>
        </w:rPr>
        <w:t>P51GEN</w:t>
      </w:r>
      <w:r w:rsidRPr="000A21B2">
        <w:rPr>
          <w:rFonts w:ascii="Arial" w:eastAsia="標楷體" w:hAnsi="Arial" w:cs="Arial" w:hint="eastAsia"/>
          <w:sz w:val="28"/>
          <w:szCs w:val="28"/>
        </w:rPr>
        <w:t>需求減少，其佔</w:t>
      </w:r>
      <w:r w:rsidRPr="000A21B2">
        <w:rPr>
          <w:rFonts w:ascii="Arial" w:eastAsia="標楷體" w:hAnsi="Arial" w:cs="Arial" w:hint="eastAsia"/>
          <w:sz w:val="28"/>
          <w:szCs w:val="28"/>
        </w:rPr>
        <w:t>109Q4</w:t>
      </w:r>
      <w:r w:rsidRPr="000A21B2">
        <w:rPr>
          <w:rFonts w:ascii="Arial" w:eastAsia="標楷體" w:hAnsi="Arial" w:cs="Arial" w:hint="eastAsia"/>
          <w:sz w:val="28"/>
          <w:szCs w:val="28"/>
        </w:rPr>
        <w:t>工業電腦項目營收約</w:t>
      </w:r>
      <w:r w:rsidRPr="000A21B2">
        <w:rPr>
          <w:rFonts w:ascii="Arial" w:eastAsia="標楷體" w:hAnsi="Arial" w:cs="Arial" w:hint="eastAsia"/>
          <w:sz w:val="28"/>
          <w:szCs w:val="28"/>
        </w:rPr>
        <w:t>35.03%</w:t>
      </w:r>
      <w:r w:rsidRPr="000A21B2">
        <w:rPr>
          <w:rFonts w:ascii="Arial" w:eastAsia="標楷體" w:hAnsi="Arial" w:cs="Arial" w:hint="eastAsia"/>
          <w:sz w:val="28"/>
          <w:szCs w:val="28"/>
        </w:rPr>
        <w:t>，美國經濟景氣雖逐漸復甦，第二季始產生零星訂單需求，但第三季單季需求持續減少，致</w:t>
      </w:r>
      <w:r w:rsidRPr="000A21B2">
        <w:rPr>
          <w:rFonts w:ascii="Arial" w:eastAsia="標楷體" w:hAnsi="Arial" w:cs="Arial" w:hint="eastAsia"/>
          <w:sz w:val="28"/>
          <w:szCs w:val="28"/>
        </w:rPr>
        <w:t>110Q4</w:t>
      </w:r>
      <w:r w:rsidRPr="000A21B2">
        <w:rPr>
          <w:rFonts w:ascii="Arial" w:eastAsia="標楷體" w:hAnsi="Arial" w:cs="Arial" w:hint="eastAsia"/>
          <w:sz w:val="28"/>
          <w:szCs w:val="28"/>
        </w:rPr>
        <w:t>工業電腦項目營收下降約為</w:t>
      </w:r>
      <w:r w:rsidRPr="000A21B2">
        <w:rPr>
          <w:rFonts w:ascii="Arial" w:eastAsia="標楷體" w:hAnsi="Arial" w:cs="Arial" w:hint="eastAsia"/>
          <w:sz w:val="28"/>
          <w:szCs w:val="28"/>
        </w:rPr>
        <w:t>20.16%</w:t>
      </w:r>
      <w:r w:rsidRPr="000A21B2">
        <w:rPr>
          <w:rFonts w:ascii="Arial" w:eastAsia="標楷體" w:hAnsi="Arial" w:cs="Arial" w:hint="eastAsia"/>
          <w:sz w:val="28"/>
          <w:szCs w:val="28"/>
        </w:rPr>
        <w:t>；且全球海運價格大漲致原物料大幅缺貨，致毛利率亦從</w:t>
      </w:r>
      <w:r w:rsidRPr="000A21B2">
        <w:rPr>
          <w:rFonts w:ascii="Arial" w:eastAsia="標楷體" w:hAnsi="Arial" w:cs="Arial" w:hint="eastAsia"/>
          <w:sz w:val="28"/>
          <w:szCs w:val="28"/>
        </w:rPr>
        <w:t>25.16%</w:t>
      </w:r>
      <w:r w:rsidRPr="000A21B2">
        <w:rPr>
          <w:rFonts w:ascii="Arial" w:eastAsia="標楷體" w:hAnsi="Arial" w:cs="Arial" w:hint="eastAsia"/>
          <w:sz w:val="28"/>
          <w:szCs w:val="28"/>
        </w:rPr>
        <w:t>下降至</w:t>
      </w:r>
      <w:r w:rsidRPr="000A21B2">
        <w:rPr>
          <w:rFonts w:ascii="Arial" w:eastAsia="標楷體" w:hAnsi="Arial" w:cs="Arial" w:hint="eastAsia"/>
          <w:sz w:val="28"/>
          <w:szCs w:val="28"/>
        </w:rPr>
        <w:t>16.95%</w:t>
      </w:r>
      <w:r w:rsidRPr="000A21B2">
        <w:rPr>
          <w:rFonts w:ascii="Arial" w:eastAsia="標楷體" w:hAnsi="Arial" w:cs="Arial" w:hint="eastAsia"/>
          <w:sz w:val="28"/>
          <w:szCs w:val="28"/>
        </w:rPr>
        <w:t>；</w:t>
      </w:r>
    </w:p>
    <w:p w14:paraId="241D45C5" w14:textId="3BB7167B" w:rsid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 xml:space="preserve">(3) </w:t>
      </w:r>
      <w:r w:rsidRPr="000A21B2">
        <w:rPr>
          <w:rFonts w:ascii="Arial" w:eastAsia="標楷體" w:hAnsi="Arial" w:cs="Arial" w:hint="eastAsia"/>
          <w:sz w:val="28"/>
          <w:szCs w:val="28"/>
        </w:rPr>
        <w:t>本期銷貨收入除上述</w:t>
      </w:r>
      <w:r w:rsidRPr="000A21B2">
        <w:rPr>
          <w:rFonts w:ascii="Arial" w:eastAsia="標楷體" w:hAnsi="Arial" w:cs="Arial" w:hint="eastAsia"/>
          <w:sz w:val="28"/>
          <w:szCs w:val="28"/>
        </w:rPr>
        <w:t>AGS</w:t>
      </w:r>
      <w:r w:rsidRPr="000A21B2">
        <w:rPr>
          <w:rFonts w:ascii="Arial" w:eastAsia="標楷體" w:hAnsi="Arial" w:cs="Arial" w:hint="eastAsia"/>
          <w:sz w:val="28"/>
          <w:szCs w:val="28"/>
        </w:rPr>
        <w:t>集團有復甦外，餘來自於</w:t>
      </w:r>
      <w:r w:rsidRPr="000A21B2">
        <w:rPr>
          <w:rFonts w:ascii="Arial" w:eastAsia="標楷體" w:hAnsi="Arial" w:cs="Arial" w:hint="eastAsia"/>
          <w:sz w:val="28"/>
          <w:szCs w:val="28"/>
        </w:rPr>
        <w:t>Savini</w:t>
      </w:r>
      <w:r w:rsidRPr="000A21B2">
        <w:rPr>
          <w:rFonts w:ascii="Arial" w:eastAsia="標楷體" w:hAnsi="Arial" w:cs="Arial" w:hint="eastAsia"/>
          <w:sz w:val="28"/>
          <w:szCs w:val="28"/>
        </w:rPr>
        <w:t>公司之少量博弈主機相關</w:t>
      </w:r>
      <w:r w:rsidRPr="000A21B2">
        <w:rPr>
          <w:rFonts w:ascii="Arial" w:eastAsia="標楷體" w:hAnsi="Arial" w:cs="Arial" w:hint="eastAsia"/>
          <w:sz w:val="28"/>
          <w:szCs w:val="28"/>
        </w:rPr>
        <w:t>M87157</w:t>
      </w:r>
      <w:r w:rsidRPr="000A21B2">
        <w:rPr>
          <w:rFonts w:ascii="Arial" w:eastAsia="標楷體" w:hAnsi="Arial" w:cs="Arial" w:hint="eastAsia"/>
          <w:sz w:val="28"/>
          <w:szCs w:val="28"/>
        </w:rPr>
        <w:t>訂單，毛利率約為</w:t>
      </w:r>
      <w:r w:rsidRPr="000A21B2">
        <w:rPr>
          <w:rFonts w:ascii="Arial" w:eastAsia="標楷體" w:hAnsi="Arial" w:cs="Arial" w:hint="eastAsia"/>
          <w:sz w:val="28"/>
          <w:szCs w:val="28"/>
        </w:rPr>
        <w:t>-4.95%</w:t>
      </w:r>
      <w:r w:rsidRPr="000A21B2">
        <w:rPr>
          <w:rFonts w:ascii="Arial" w:eastAsia="標楷體" w:hAnsi="Arial" w:cs="Arial" w:hint="eastAsia"/>
          <w:sz w:val="28"/>
          <w:szCs w:val="28"/>
        </w:rPr>
        <w:t>，主要係</w:t>
      </w:r>
      <w:r w:rsidRPr="000A21B2">
        <w:rPr>
          <w:rFonts w:ascii="Arial" w:eastAsia="標楷體" w:hAnsi="Arial" w:cs="Arial" w:hint="eastAsia"/>
          <w:sz w:val="28"/>
          <w:szCs w:val="28"/>
        </w:rPr>
        <w:t>9</w:t>
      </w:r>
      <w:r w:rsidRPr="000A21B2">
        <w:rPr>
          <w:rFonts w:ascii="Arial" w:eastAsia="標楷體" w:hAnsi="Arial" w:cs="Arial" w:hint="eastAsia"/>
          <w:sz w:val="28"/>
          <w:szCs w:val="28"/>
        </w:rPr>
        <w:t>月份廠房已無產能，致分攤至單位之製造費用增加，且美金持續下跌致出口匯率遭侵蝕，產生負毛利</w:t>
      </w:r>
    </w:p>
    <w:tbl>
      <w:tblPr>
        <w:tblW w:w="864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7"/>
        <w:gridCol w:w="1680"/>
        <w:gridCol w:w="1680"/>
        <w:gridCol w:w="1680"/>
        <w:gridCol w:w="1680"/>
      </w:tblGrid>
      <w:tr w:rsidR="000A21B2" w:rsidRPr="000A21B2" w14:paraId="4A9CAAD6" w14:textId="77777777" w:rsidTr="000A21B2">
        <w:trPr>
          <w:trHeight w:val="22"/>
        </w:trPr>
        <w:tc>
          <w:tcPr>
            <w:tcW w:w="19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E2359" w14:textId="77777777" w:rsidR="000A21B2" w:rsidRPr="000A21B2" w:rsidRDefault="000A21B2" w:rsidP="000A21B2">
            <w:pPr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2F18EC" w14:textId="77777777" w:rsidR="000A21B2" w:rsidRPr="000A21B2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sz w:val="28"/>
                <w:szCs w:val="28"/>
              </w:rPr>
              <w:t>110</w:t>
            </w:r>
            <w:r w:rsidRPr="000A21B2">
              <w:rPr>
                <w:rFonts w:ascii="Arial" w:eastAsia="標楷體" w:hAnsi="Arial" w:cs="Arial"/>
                <w:sz w:val="28"/>
                <w:szCs w:val="28"/>
              </w:rPr>
              <w:t>年度</w:t>
            </w: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BFEDC" w14:textId="77777777" w:rsidR="000A21B2" w:rsidRPr="000A21B2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sz w:val="28"/>
                <w:szCs w:val="28"/>
              </w:rPr>
              <w:t>109</w:t>
            </w:r>
            <w:r w:rsidRPr="000A21B2">
              <w:rPr>
                <w:rFonts w:ascii="Arial" w:eastAsia="標楷體" w:hAnsi="Arial" w:cs="Arial"/>
                <w:sz w:val="28"/>
                <w:szCs w:val="28"/>
              </w:rPr>
              <w:t>年度</w:t>
            </w: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D11B2" w14:textId="77777777" w:rsidR="000A21B2" w:rsidRPr="000A21B2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sz w:val="28"/>
                <w:szCs w:val="28"/>
              </w:rPr>
              <w:t>Diff</w:t>
            </w: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2C8FFC" w14:textId="77777777" w:rsidR="000A21B2" w:rsidRPr="000A21B2" w:rsidRDefault="000A21B2" w:rsidP="000A21B2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sz w:val="28"/>
                <w:szCs w:val="28"/>
              </w:rPr>
              <w:t>Diff(%)</w:t>
            </w:r>
          </w:p>
        </w:tc>
      </w:tr>
      <w:tr w:rsidR="000A21B2" w:rsidRPr="000A21B2" w14:paraId="501228D7" w14:textId="77777777" w:rsidTr="000A21B2">
        <w:trPr>
          <w:trHeight w:val="22"/>
        </w:trPr>
        <w:tc>
          <w:tcPr>
            <w:tcW w:w="19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52A9FB" w14:textId="77777777" w:rsidR="000A21B2" w:rsidRPr="000A21B2" w:rsidRDefault="000A21B2" w:rsidP="000A21B2">
            <w:pPr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sz w:val="28"/>
                <w:szCs w:val="28"/>
              </w:rPr>
              <w:t>毛利率</w:t>
            </w:r>
            <w:r w:rsidRPr="000A21B2">
              <w:rPr>
                <w:rFonts w:ascii="Arial" w:eastAsia="標楷體" w:hAnsi="Arial" w:cs="Arial"/>
                <w:sz w:val="28"/>
                <w:szCs w:val="28"/>
              </w:rPr>
              <w:t>(%)</w:t>
            </w: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00502" w14:textId="77777777" w:rsidR="000A21B2" w:rsidRPr="000A21B2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sz w:val="28"/>
                <w:szCs w:val="28"/>
              </w:rPr>
              <w:t>6.74</w:t>
            </w: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DCFD42" w14:textId="77777777" w:rsidR="000A21B2" w:rsidRPr="000A21B2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sz w:val="28"/>
                <w:szCs w:val="28"/>
              </w:rPr>
              <w:t>11.06</w:t>
            </w: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CBD85" w14:textId="77777777" w:rsidR="000A21B2" w:rsidRPr="000A21B2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sz w:val="28"/>
                <w:szCs w:val="28"/>
              </w:rPr>
              <w:t>(4.32)</w:t>
            </w:r>
          </w:p>
        </w:tc>
        <w:tc>
          <w:tcPr>
            <w:tcW w:w="168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2F6A69" w14:textId="77777777" w:rsidR="000A21B2" w:rsidRPr="000A21B2" w:rsidRDefault="000A21B2" w:rsidP="000A21B2">
            <w:pPr>
              <w:jc w:val="right"/>
              <w:rPr>
                <w:rFonts w:ascii="Arial" w:eastAsia="標楷體" w:hAnsi="Arial" w:cs="Arial"/>
                <w:sz w:val="28"/>
                <w:szCs w:val="28"/>
              </w:rPr>
            </w:pPr>
            <w:r w:rsidRPr="000A21B2">
              <w:rPr>
                <w:rFonts w:ascii="Arial" w:eastAsia="標楷體" w:hAnsi="Arial" w:cs="Arial"/>
                <w:sz w:val="28"/>
                <w:szCs w:val="28"/>
              </w:rPr>
              <w:t>(39.06)</w:t>
            </w:r>
          </w:p>
        </w:tc>
      </w:tr>
    </w:tbl>
    <w:p w14:paraId="475A09E9" w14:textId="643B05E3" w:rsid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分析</w:t>
      </w:r>
      <w:r>
        <w:rPr>
          <w:rFonts w:ascii="新細明體" w:eastAsia="新細明體" w:hAnsi="新細明體" w:cs="Arial" w:hint="eastAsia"/>
          <w:sz w:val="28"/>
          <w:szCs w:val="28"/>
        </w:rPr>
        <w:t>：</w:t>
      </w:r>
    </w:p>
    <w:p w14:paraId="1EC1675D" w14:textId="7F2EF42B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本期產生工程毛利率主要係：</w:t>
      </w:r>
    </w:p>
    <w:p w14:paraId="7CA72C01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特瑞斯公司於本期認列離岸風電第二期計畫採購及工程服務收入，其相關工程範圍係提供設計藍圖及規劃海事工程進度。因該服務特瑞斯公司</w:t>
      </w:r>
      <w:r w:rsidRPr="000A21B2">
        <w:rPr>
          <w:rFonts w:ascii="Arial" w:eastAsia="標楷體" w:hAnsi="Arial" w:cs="Arial" w:hint="eastAsia"/>
          <w:sz w:val="28"/>
          <w:szCs w:val="28"/>
        </w:rPr>
        <w:lastRenderedPageBreak/>
        <w:t>多數係支付勞務作業，產生之成本多為薪資及勞務費用，致毛利率約</w:t>
      </w:r>
      <w:r w:rsidRPr="000A21B2">
        <w:rPr>
          <w:rFonts w:ascii="Arial" w:eastAsia="標楷體" w:hAnsi="Arial" w:cs="Arial"/>
          <w:sz w:val="28"/>
          <w:szCs w:val="28"/>
        </w:rPr>
        <w:t>85.29%</w:t>
      </w:r>
      <w:r w:rsidRPr="000A21B2">
        <w:rPr>
          <w:rFonts w:ascii="Arial" w:eastAsia="標楷體" w:hAnsi="Arial" w:cs="Arial" w:hint="eastAsia"/>
          <w:sz w:val="28"/>
          <w:szCs w:val="28"/>
        </w:rPr>
        <w:t>。</w:t>
      </w:r>
    </w:p>
    <w:p w14:paraId="1B5216C6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綜合各項毛利率之說明，本期整體毛利率較去年同期下降，主要係</w:t>
      </w:r>
    </w:p>
    <w:p w14:paraId="3740754F" w14:textId="77777777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本期能源類之營收佔比為</w:t>
      </w:r>
      <w:r w:rsidRPr="000A21B2">
        <w:rPr>
          <w:rFonts w:ascii="Arial" w:eastAsia="標楷體" w:hAnsi="Arial" w:cs="Arial"/>
          <w:sz w:val="28"/>
          <w:szCs w:val="28"/>
        </w:rPr>
        <w:t>82.98%</w:t>
      </w:r>
      <w:r w:rsidRPr="000A21B2">
        <w:rPr>
          <w:rFonts w:ascii="Arial" w:eastAsia="標楷體" w:hAnsi="Arial" w:cs="Arial"/>
          <w:sz w:val="28"/>
          <w:szCs w:val="28"/>
        </w:rPr>
        <w:t>，</w:t>
      </w:r>
      <w:r w:rsidRPr="000A21B2">
        <w:rPr>
          <w:rFonts w:ascii="Arial" w:eastAsia="標楷體" w:hAnsi="Arial" w:cs="Arial" w:hint="eastAsia"/>
          <w:sz w:val="28"/>
          <w:szCs w:val="28"/>
        </w:rPr>
        <w:t>較去年同期</w:t>
      </w:r>
      <w:r w:rsidRPr="000A21B2">
        <w:rPr>
          <w:rFonts w:ascii="Arial" w:eastAsia="標楷體" w:hAnsi="Arial" w:cs="Arial"/>
          <w:sz w:val="28"/>
          <w:szCs w:val="28"/>
        </w:rPr>
        <w:t>68.57%</w:t>
      </w:r>
      <w:r w:rsidRPr="000A21B2">
        <w:rPr>
          <w:rFonts w:ascii="Arial" w:eastAsia="標楷體" w:hAnsi="Arial" w:cs="Arial" w:hint="eastAsia"/>
          <w:sz w:val="28"/>
          <w:szCs w:val="28"/>
        </w:rPr>
        <w:t>上升；而較高博弈訂單因受到疫情影響，本期營收佔比</w:t>
      </w:r>
      <w:r w:rsidRPr="000A21B2">
        <w:rPr>
          <w:rFonts w:ascii="Arial" w:eastAsia="標楷體" w:hAnsi="Arial" w:cs="Arial"/>
          <w:sz w:val="28"/>
          <w:szCs w:val="28"/>
        </w:rPr>
        <w:t>11.62%</w:t>
      </w:r>
      <w:r w:rsidRPr="000A21B2">
        <w:rPr>
          <w:rFonts w:ascii="Arial" w:eastAsia="標楷體" w:hAnsi="Arial" w:cs="Arial" w:hint="eastAsia"/>
          <w:sz w:val="28"/>
          <w:szCs w:val="28"/>
        </w:rPr>
        <w:t>，較去年同期</w:t>
      </w:r>
      <w:r w:rsidRPr="000A21B2">
        <w:rPr>
          <w:rFonts w:ascii="Arial" w:eastAsia="標楷體" w:hAnsi="Arial" w:cs="Arial"/>
          <w:sz w:val="28"/>
          <w:szCs w:val="28"/>
        </w:rPr>
        <w:t>31.43%</w:t>
      </w:r>
      <w:r w:rsidRPr="000A21B2">
        <w:rPr>
          <w:rFonts w:ascii="Arial" w:eastAsia="標楷體" w:hAnsi="Arial" w:cs="Arial" w:hint="eastAsia"/>
          <w:sz w:val="28"/>
          <w:szCs w:val="28"/>
        </w:rPr>
        <w:t>減少；海事工程技術服務則佔營業收入</w:t>
      </w:r>
      <w:r w:rsidRPr="000A21B2">
        <w:rPr>
          <w:rFonts w:ascii="Arial" w:eastAsia="標楷體" w:hAnsi="Arial" w:cs="Arial"/>
          <w:sz w:val="28"/>
          <w:szCs w:val="28"/>
        </w:rPr>
        <w:t>5.40%</w:t>
      </w:r>
      <w:r w:rsidRPr="000A21B2">
        <w:rPr>
          <w:rFonts w:ascii="Arial" w:eastAsia="標楷體" w:hAnsi="Arial" w:cs="Arial" w:hint="eastAsia"/>
          <w:sz w:val="28"/>
          <w:szCs w:val="28"/>
        </w:rPr>
        <w:t>。</w:t>
      </w:r>
    </w:p>
    <w:p w14:paraId="79E62E2B" w14:textId="2803CE29" w:rsidR="000A21B2" w:rsidRPr="000A21B2" w:rsidRDefault="000A21B2" w:rsidP="000A21B2">
      <w:pPr>
        <w:spacing w:line="500" w:lineRule="exact"/>
        <w:ind w:leftChars="590" w:left="1417" w:hanging="1"/>
        <w:jc w:val="both"/>
        <w:rPr>
          <w:rFonts w:ascii="Arial" w:eastAsia="標楷體" w:hAnsi="Arial" w:cs="Arial" w:hint="eastAsia"/>
          <w:sz w:val="28"/>
          <w:szCs w:val="28"/>
        </w:rPr>
      </w:pPr>
      <w:r w:rsidRPr="000A21B2">
        <w:rPr>
          <w:rFonts w:ascii="Arial" w:eastAsia="標楷體" w:hAnsi="Arial" w:cs="Arial" w:hint="eastAsia"/>
          <w:sz w:val="28"/>
          <w:szCs w:val="28"/>
        </w:rPr>
        <w:t>由於本期毛利率較低之儲能櫃營收佔比擴大，致使本期毛利率下降。</w:t>
      </w:r>
    </w:p>
    <w:p w14:paraId="4BAC2E6B" w14:textId="149477CB" w:rsidR="00187316" w:rsidRPr="00B31FC6" w:rsidRDefault="00187316" w:rsidP="00327F22">
      <w:pPr>
        <w:spacing w:line="500" w:lineRule="exact"/>
        <w:ind w:firstLineChars="218" w:firstLine="610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3</w:t>
      </w:r>
      <w:r w:rsidRPr="00B31FC6">
        <w:rPr>
          <w:rFonts w:ascii="Arial" w:eastAsia="標楷體" w:hAnsi="Arial" w:cs="Arial"/>
          <w:sz w:val="28"/>
          <w:szCs w:val="28"/>
        </w:rPr>
        <w:t>、</w:t>
      </w:r>
      <w:r w:rsidRPr="00B31FC6">
        <w:rPr>
          <w:rFonts w:ascii="Arial" w:eastAsia="標楷體" w:hAnsi="Arial" w:cs="Arial"/>
          <w:sz w:val="28"/>
          <w:szCs w:val="28"/>
        </w:rPr>
        <w:t>1</w:t>
      </w:r>
      <w:r w:rsidR="000A21B2">
        <w:rPr>
          <w:rFonts w:ascii="Arial" w:eastAsia="標楷體" w:hAnsi="Arial" w:cs="Arial" w:hint="eastAsia"/>
          <w:sz w:val="28"/>
          <w:szCs w:val="28"/>
        </w:rPr>
        <w:t>10</w:t>
      </w:r>
      <w:r w:rsidRPr="00B31FC6">
        <w:rPr>
          <w:rFonts w:ascii="Arial" w:eastAsia="標楷體" w:hAnsi="Arial" w:cs="Arial"/>
          <w:sz w:val="28"/>
          <w:szCs w:val="28"/>
        </w:rPr>
        <w:t>年度關鍵查核事項</w:t>
      </w:r>
      <w:r w:rsidR="00390F92" w:rsidRPr="00B31FC6">
        <w:rPr>
          <w:rFonts w:ascii="Arial" w:eastAsia="標楷體" w:hAnsi="Arial" w:cs="Arial"/>
          <w:sz w:val="28"/>
          <w:szCs w:val="28"/>
        </w:rPr>
        <w:t>（說明請參閱附件）</w:t>
      </w:r>
    </w:p>
    <w:p w14:paraId="77957B39" w14:textId="37E5144F" w:rsidR="00390F92" w:rsidRPr="00B31FC6" w:rsidRDefault="00390F92" w:rsidP="004325AA">
      <w:pPr>
        <w:spacing w:line="500" w:lineRule="exact"/>
        <w:ind w:firstLineChars="405" w:firstLine="1134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銷貨集中</w:t>
      </w:r>
    </w:p>
    <w:p w14:paraId="6016BCE0" w14:textId="72E1DDAA" w:rsidR="00B31FC6" w:rsidRPr="00B31FC6" w:rsidRDefault="00B31FC6" w:rsidP="00B31FC6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七、臨時動議：無。</w:t>
      </w:r>
    </w:p>
    <w:p w14:paraId="5E01AAFB" w14:textId="6FABD885" w:rsidR="00B31FC6" w:rsidRPr="00B31FC6" w:rsidRDefault="00B31FC6" w:rsidP="00B31FC6">
      <w:pPr>
        <w:spacing w:line="500" w:lineRule="exact"/>
        <w:jc w:val="both"/>
        <w:rPr>
          <w:rFonts w:ascii="Arial" w:eastAsia="標楷體" w:hAnsi="Arial" w:cs="Arial"/>
          <w:sz w:val="28"/>
          <w:szCs w:val="28"/>
        </w:rPr>
      </w:pPr>
      <w:r w:rsidRPr="00B31FC6">
        <w:rPr>
          <w:rFonts w:ascii="Arial" w:eastAsia="標楷體" w:hAnsi="Arial" w:cs="Arial"/>
          <w:sz w:val="28"/>
          <w:szCs w:val="28"/>
        </w:rPr>
        <w:t>八</w:t>
      </w:r>
      <w:r w:rsidRPr="00B31FC6">
        <w:rPr>
          <w:rFonts w:ascii="Arial" w:eastAsia="新細明體" w:hAnsi="Arial" w:cs="Arial"/>
          <w:sz w:val="28"/>
          <w:szCs w:val="28"/>
        </w:rPr>
        <w:t>、</w:t>
      </w:r>
      <w:r w:rsidRPr="00B31FC6">
        <w:rPr>
          <w:rFonts w:ascii="Arial" w:eastAsia="標楷體" w:hAnsi="Arial" w:cs="Arial"/>
          <w:sz w:val="28"/>
          <w:szCs w:val="28"/>
        </w:rPr>
        <w:t>散</w:t>
      </w:r>
      <w:r w:rsidRPr="00B31FC6">
        <w:rPr>
          <w:rFonts w:ascii="Arial" w:eastAsia="標楷體" w:hAnsi="Arial" w:cs="Arial"/>
          <w:sz w:val="28"/>
          <w:szCs w:val="28"/>
        </w:rPr>
        <w:t xml:space="preserve">    </w:t>
      </w:r>
      <w:r w:rsidRPr="00B31FC6">
        <w:rPr>
          <w:rFonts w:ascii="Arial" w:eastAsia="標楷體" w:hAnsi="Arial" w:cs="Arial"/>
          <w:sz w:val="28"/>
          <w:szCs w:val="28"/>
        </w:rPr>
        <w:t>會</w:t>
      </w:r>
      <w:r w:rsidRPr="00B31FC6">
        <w:rPr>
          <w:rFonts w:ascii="Arial" w:eastAsia="新細明體" w:hAnsi="Arial" w:cs="Arial"/>
          <w:sz w:val="28"/>
          <w:szCs w:val="28"/>
        </w:rPr>
        <w:t>：</w:t>
      </w:r>
      <w:r w:rsidRPr="00B31FC6">
        <w:rPr>
          <w:rFonts w:ascii="Arial" w:eastAsia="標楷體" w:hAnsi="Arial" w:cs="Arial"/>
          <w:sz w:val="28"/>
          <w:szCs w:val="28"/>
        </w:rPr>
        <w:t>下午</w:t>
      </w:r>
      <w:r w:rsidR="00601D4B">
        <w:rPr>
          <w:rFonts w:ascii="Arial" w:eastAsia="標楷體" w:hAnsi="Arial" w:cs="Arial" w:hint="eastAsia"/>
          <w:sz w:val="28"/>
          <w:szCs w:val="28"/>
        </w:rPr>
        <w:t>3</w:t>
      </w:r>
      <w:r w:rsidRPr="00B31FC6">
        <w:rPr>
          <w:rFonts w:ascii="Arial" w:eastAsia="標楷體" w:hAnsi="Arial" w:cs="Arial"/>
          <w:sz w:val="28"/>
          <w:szCs w:val="28"/>
        </w:rPr>
        <w:t>：</w:t>
      </w:r>
      <w:r w:rsidR="000A21B2">
        <w:rPr>
          <w:rFonts w:ascii="Arial" w:eastAsia="標楷體" w:hAnsi="Arial" w:cs="Arial" w:hint="eastAsia"/>
          <w:sz w:val="28"/>
          <w:szCs w:val="28"/>
        </w:rPr>
        <w:t>0</w:t>
      </w:r>
      <w:r w:rsidR="00F725E1">
        <w:rPr>
          <w:rFonts w:ascii="Arial" w:eastAsia="標楷體" w:hAnsi="Arial" w:cs="Arial"/>
          <w:sz w:val="28"/>
          <w:szCs w:val="28"/>
        </w:rPr>
        <w:t>0</w:t>
      </w:r>
      <w:r w:rsidR="00F725E1">
        <w:rPr>
          <w:rFonts w:ascii="標楷體" w:eastAsia="標楷體" w:hAnsi="標楷體" w:cs="Arial" w:hint="eastAsia"/>
          <w:sz w:val="28"/>
          <w:szCs w:val="28"/>
        </w:rPr>
        <w:t>。</w:t>
      </w:r>
      <w:r w:rsidR="007D681F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sectPr w:rsidR="00B31FC6" w:rsidRPr="00B31FC6" w:rsidSect="003B6ECF">
      <w:pgSz w:w="11907" w:h="16840" w:code="9"/>
      <w:pgMar w:top="851" w:right="851" w:bottom="851" w:left="851" w:header="510" w:footer="624" w:gutter="144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2863" w14:textId="77777777" w:rsidR="008E56E1" w:rsidRDefault="008E56E1" w:rsidP="008808D0">
      <w:r>
        <w:separator/>
      </w:r>
    </w:p>
  </w:endnote>
  <w:endnote w:type="continuationSeparator" w:id="0">
    <w:p w14:paraId="620A22B6" w14:textId="77777777" w:rsidR="008E56E1" w:rsidRDefault="008E56E1" w:rsidP="0088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7E4E" w14:textId="77777777" w:rsidR="008E56E1" w:rsidRDefault="008E56E1" w:rsidP="008808D0">
      <w:r>
        <w:separator/>
      </w:r>
    </w:p>
  </w:footnote>
  <w:footnote w:type="continuationSeparator" w:id="0">
    <w:p w14:paraId="5B7A7EE9" w14:textId="77777777" w:rsidR="008E56E1" w:rsidRDefault="008E56E1" w:rsidP="0088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F6A"/>
    <w:multiLevelType w:val="hybridMultilevel"/>
    <w:tmpl w:val="96104AEA"/>
    <w:lvl w:ilvl="0" w:tplc="4AE24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45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65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06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0E9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EE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EC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8F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47358C"/>
    <w:multiLevelType w:val="hybridMultilevel"/>
    <w:tmpl w:val="FEC46BFC"/>
    <w:lvl w:ilvl="0" w:tplc="39283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EF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65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CB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E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C5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2B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2C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65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9E33DF"/>
    <w:multiLevelType w:val="hybridMultilevel"/>
    <w:tmpl w:val="50E4B9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10804434">
    <w:abstractNumId w:val="2"/>
  </w:num>
  <w:num w:numId="2" w16cid:durableId="457574071">
    <w:abstractNumId w:val="0"/>
  </w:num>
  <w:num w:numId="3" w16cid:durableId="20363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80"/>
  <w:evenAndOddHeaders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B1"/>
    <w:rsid w:val="000970B1"/>
    <w:rsid w:val="000A21B2"/>
    <w:rsid w:val="000B1BDF"/>
    <w:rsid w:val="001064B1"/>
    <w:rsid w:val="001203D0"/>
    <w:rsid w:val="00187316"/>
    <w:rsid w:val="0022729F"/>
    <w:rsid w:val="00265D74"/>
    <w:rsid w:val="00327F22"/>
    <w:rsid w:val="00390F92"/>
    <w:rsid w:val="003B6ECF"/>
    <w:rsid w:val="004325AA"/>
    <w:rsid w:val="005E5DAF"/>
    <w:rsid w:val="00601D4B"/>
    <w:rsid w:val="007C61E3"/>
    <w:rsid w:val="007D681F"/>
    <w:rsid w:val="008808D0"/>
    <w:rsid w:val="008E56E1"/>
    <w:rsid w:val="00AE539D"/>
    <w:rsid w:val="00B31FC6"/>
    <w:rsid w:val="00DF3E73"/>
    <w:rsid w:val="00EA118C"/>
    <w:rsid w:val="00F725E1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3C27A"/>
  <w15:chartTrackingRefBased/>
  <w15:docId w15:val="{6BADB9CE-556B-4477-BF74-0C2C4798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8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08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08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8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0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 Tseng</cp:lastModifiedBy>
  <cp:revision>3</cp:revision>
  <cp:lastPrinted>2020-06-05T06:09:00Z</cp:lastPrinted>
  <dcterms:created xsi:type="dcterms:W3CDTF">2022-12-27T08:21:00Z</dcterms:created>
  <dcterms:modified xsi:type="dcterms:W3CDTF">2022-12-27T08:45:00Z</dcterms:modified>
</cp:coreProperties>
</file>